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Curriculum Plan: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B.Com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.Section A Corporate Governance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   (NEP) 2025: Semester – 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50" w:tblpY="0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1530"/>
        <w:gridCol w:w="2265"/>
        <w:gridCol w:w="1140"/>
        <w:gridCol w:w="1920"/>
        <w:gridCol w:w="1665"/>
        <w:gridCol w:w="1140"/>
        <w:tblGridChange w:id="0">
          <w:tblGrid>
            <w:gridCol w:w="1140"/>
            <w:gridCol w:w="1530"/>
            <w:gridCol w:w="2265"/>
            <w:gridCol w:w="1140"/>
            <w:gridCol w:w="1920"/>
            <w:gridCol w:w="1665"/>
            <w:gridCol w:w="11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Ms. Alka Rani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Assistant Professor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Department of Commerce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Kalindi College, University of Delhi, Delhi- 110008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Marks Distribution      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Theory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tab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 90 Marks                              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                                  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Internal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Assignments         12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Class- Test             12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 Attendance   6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Continuous Assessment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Project              35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Tut Attendance 5 marks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Classes Assigned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 per week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Students Tutorial Groups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(1 per week per Student)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 group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Topics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January  2025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1: Conceptual Framework of Corporate Governance 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Corporate Governance: Meaning, significance and principles; Management and corporate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governance; Theories of Corporate Governance: Agency Theory, Stewardship theory,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Stakeholder Theory, Resource Dependency Theory, Managerial Hegemony Theory; Models of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Corporate Governance; Art of Governance as per Kautilya's Arthashastra.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2: Recent Issues and Challenges of Corporate Governance (9 hours)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Board structure and Directors; Role of Board; Board Committees and their functions; Insider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Trading; Whistle Blowing; Shareholders Activism; Role of institutional investors; Class Action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suits. CSR and Corporate Governance, Concept of Gandhian Trusteeship.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Assignment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February 2025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3: Global Corporate Failures and International Codes (9 hours)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BCCI (UK), Maxwell (UK), Enron (USA), World.Com (USA), Vivendi (France), Lehman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Brothers; Sir Adrian Cadbury Committee 1992, SOX 2002, OECD Principles of Corporate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Governance.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Test 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March 2025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4: Corporate Governance Regulatory Framework in India (9 hours)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Regulatory framework in India: Kumar Mangalam Birla (1999), NR Narayana Murthy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Committee (2005), Relevant provisions of Companies Act, 2013, SEBI: Listing Obligations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 Disclosure Requirements Regulations (LODR), 2015 and Uday Kotak Committee (2017).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Project 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April 2025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5: Corporate Failures and Scams in India (9 hours)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Satyam Computer Services Ltd, Kingfisher Airlines, PNB Heist, IL&amp;FS Group Crisis; ICICI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Bank, Yes Bank; Common Governance Problems in various corporate failures in India and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abroad.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Ppt Presentation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u4MeUrK0SdCeH9betFhVpjfFRQ==">CgMxLjA4AHIhMVpZX0lJZC1RNWNMV3ZuYTNYSmVzMV9GRXFOQXdTbjJS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