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Curriculum plan (EvenSemester 2020-2021)</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Name: Sonia Kamboj</w:t>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name:  Fundamentals of Investment</w:t>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type:  B.Com(H) Sem VI</w:t>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shared with:N/A</w:t>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2268"/>
        <w:gridCol w:w="2551"/>
        <w:tblGridChange w:id="0">
          <w:tblGrid>
            <w:gridCol w:w="4957"/>
            <w:gridCol w:w="2268"/>
            <w:gridCol w:w="2551"/>
          </w:tblGrid>
        </w:tblGridChange>
      </w:tblGrid>
      <w:tr>
        <w:tc>
          <w:tcPr/>
          <w:p w:rsidR="00000000" w:rsidDel="00000000" w:rsidP="00000000" w:rsidRDefault="00000000" w:rsidRPr="00000000" w14:paraId="00000007">
            <w:pPr>
              <w:rPr/>
            </w:pPr>
            <w:r w:rsidDel="00000000" w:rsidR="00000000" w:rsidRPr="00000000">
              <w:rPr>
                <w:rFonts w:ascii="Times New Roman" w:cs="Times New Roman" w:eastAsia="Times New Roman" w:hAnsi="Times New Roman"/>
                <w:b w:val="1"/>
                <w:rtl w:val="0"/>
              </w:rPr>
              <w:t xml:space="preserve">Unit to be taken</w:t>
            </w:r>
            <w:r w:rsidDel="00000000" w:rsidR="00000000" w:rsidRPr="00000000">
              <w:rPr>
                <w:rtl w:val="0"/>
              </w:rPr>
            </w:r>
          </w:p>
        </w:tc>
        <w:tc>
          <w:tcPr/>
          <w:p w:rsidR="00000000" w:rsidDel="00000000" w:rsidP="00000000" w:rsidRDefault="00000000" w:rsidRPr="00000000" w14:paraId="00000008">
            <w:pPr>
              <w:rPr/>
            </w:pPr>
            <w:r w:rsidDel="00000000" w:rsidR="00000000" w:rsidRPr="00000000">
              <w:rPr>
                <w:rFonts w:ascii="Times New Roman" w:cs="Times New Roman" w:eastAsia="Times New Roman" w:hAnsi="Times New Roman"/>
                <w:b w:val="1"/>
                <w:rtl w:val="0"/>
              </w:rPr>
              <w:t xml:space="preserve">Month wise schedule to be followed</w:t>
            </w:r>
            <w:r w:rsidDel="00000000" w:rsidR="00000000" w:rsidRPr="00000000">
              <w:rPr>
                <w:rtl w:val="0"/>
              </w:rPr>
            </w:r>
          </w:p>
        </w:tc>
        <w:tc>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Tests/Assignments/ Revision/Presentations etc</w:t>
            </w:r>
          </w:p>
        </w:tc>
      </w:tr>
      <w:tr>
        <w:tc>
          <w:tcPr/>
          <w:p w:rsidR="00000000" w:rsidDel="00000000" w:rsidP="00000000" w:rsidRDefault="00000000" w:rsidRPr="00000000" w14:paraId="0000000A">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I: The Investment Environment:</w:t>
            </w:r>
          </w:p>
          <w:p w:rsidR="00000000" w:rsidDel="00000000" w:rsidP="00000000" w:rsidRDefault="00000000" w:rsidRPr="00000000" w14:paraId="0000000B">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The investment decision process, Types of investments-commodities, real estate and financial assets, the Indian securities market, the market participants and trading of securities, security market indices, sources of financial information, concept of return and risk (including Capital Asset Pricing model), impact of taxes and inflation on return</w:t>
            </w:r>
          </w:p>
        </w:tc>
        <w:tc>
          <w:tcPr/>
          <w:p w:rsidR="00000000" w:rsidDel="00000000" w:rsidP="00000000" w:rsidRDefault="00000000" w:rsidRPr="00000000" w14:paraId="0000000C">
            <w:pPr>
              <w:rPr/>
            </w:pPr>
            <w:r w:rsidDel="00000000" w:rsidR="00000000" w:rsidRPr="00000000">
              <w:rPr>
                <w:rtl w:val="0"/>
              </w:rPr>
              <w:t xml:space="preserve">January, 2021</w:t>
            </w:r>
          </w:p>
        </w:tc>
        <w:tc>
          <w:tcPr/>
          <w:p w:rsidR="00000000" w:rsidDel="00000000" w:rsidP="00000000" w:rsidRDefault="00000000" w:rsidRPr="00000000" w14:paraId="0000000D">
            <w:pPr>
              <w:rPr/>
            </w:pPr>
            <w:r w:rsidDel="00000000" w:rsidR="00000000" w:rsidRPr="00000000">
              <w:rPr>
                <w:rtl w:val="0"/>
              </w:rPr>
              <w:t xml:space="preserve">Presentations from Unit I</w:t>
            </w:r>
          </w:p>
        </w:tc>
      </w:tr>
      <w:tr>
        <w:tc>
          <w:tcPr/>
          <w:p w:rsidR="00000000" w:rsidDel="00000000" w:rsidP="00000000" w:rsidRDefault="00000000" w:rsidRPr="00000000" w14:paraId="0000000E">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II: Fixed Income Securities:</w:t>
            </w:r>
          </w:p>
          <w:p w:rsidR="00000000" w:rsidDel="00000000" w:rsidP="00000000" w:rsidRDefault="00000000" w:rsidRPr="00000000" w14:paraId="0000000F">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Bond features, types of bonds, estimating bond yields, types of bond risks, default risk and credit rating.</w:t>
            </w:r>
          </w:p>
          <w:p w:rsidR="00000000" w:rsidDel="00000000" w:rsidP="00000000" w:rsidRDefault="00000000" w:rsidRPr="00000000" w14:paraId="00000010">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III: Approaches to equity analysis:</w:t>
            </w:r>
          </w:p>
          <w:p w:rsidR="00000000" w:rsidDel="00000000" w:rsidP="00000000" w:rsidRDefault="00000000" w:rsidRPr="00000000" w14:paraId="00000011">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Introduction to fundamental analysis, technical analysis and Efficient Market Hypothesis</w:t>
            </w:r>
          </w:p>
        </w:tc>
        <w:tc>
          <w:tcPr/>
          <w:p w:rsidR="00000000" w:rsidDel="00000000" w:rsidP="00000000" w:rsidRDefault="00000000" w:rsidRPr="00000000" w14:paraId="00000012">
            <w:pPr>
              <w:rPr/>
            </w:pPr>
            <w:r w:rsidDel="00000000" w:rsidR="00000000" w:rsidRPr="00000000">
              <w:rPr>
                <w:rtl w:val="0"/>
              </w:rPr>
              <w:t xml:space="preserve">February, 2021</w:t>
            </w:r>
          </w:p>
        </w:tc>
        <w:tc>
          <w:tcPr/>
          <w:p w:rsidR="00000000" w:rsidDel="00000000" w:rsidP="00000000" w:rsidRDefault="00000000" w:rsidRPr="00000000" w14:paraId="00000013">
            <w:pPr>
              <w:rPr/>
            </w:pPr>
            <w:r w:rsidDel="00000000" w:rsidR="00000000" w:rsidRPr="00000000">
              <w:rPr>
                <w:rtl w:val="0"/>
              </w:rPr>
              <w:t xml:space="preserve">Quiz from Unit II</w:t>
            </w:r>
          </w:p>
        </w:tc>
      </w:tr>
      <w:tr>
        <w:tc>
          <w:tcPr/>
          <w:p w:rsidR="00000000" w:rsidDel="00000000" w:rsidP="00000000" w:rsidRDefault="00000000" w:rsidRPr="00000000" w14:paraId="00000014">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III:</w:t>
            </w:r>
          </w:p>
          <w:p w:rsidR="00000000" w:rsidDel="00000000" w:rsidP="00000000" w:rsidRDefault="00000000" w:rsidRPr="00000000" w14:paraId="00000015">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Dividend Capitalisation models, and price-earnings multiple approach to equity valuation</w:t>
            </w:r>
          </w:p>
          <w:p w:rsidR="00000000" w:rsidDel="00000000" w:rsidP="00000000" w:rsidRDefault="00000000" w:rsidRPr="00000000" w14:paraId="00000016">
            <w:pP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Unit IV: Portfolio analysis and financial derivatives:</w:t>
            </w:r>
          </w:p>
          <w:p w:rsidR="00000000" w:rsidDel="00000000" w:rsidP="00000000" w:rsidRDefault="00000000" w:rsidRPr="00000000" w14:paraId="00000018">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Portfolio and Diversification</w:t>
            </w:r>
          </w:p>
          <w:p w:rsidR="00000000" w:rsidDel="00000000" w:rsidP="00000000" w:rsidRDefault="00000000" w:rsidRPr="00000000" w14:paraId="00000019">
            <w:pPr>
              <w:spacing w:after="200"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1A">
            <w:pPr>
              <w:rPr/>
            </w:pPr>
            <w:bookmarkStart w:colFirst="0" w:colLast="0" w:name="_gjdgxs" w:id="0"/>
            <w:bookmarkEnd w:id="0"/>
            <w:r w:rsidDel="00000000" w:rsidR="00000000" w:rsidRPr="00000000">
              <w:rPr>
                <w:rtl w:val="0"/>
              </w:rPr>
              <w:t xml:space="preserve">March, 2021</w:t>
            </w:r>
          </w:p>
        </w:tc>
        <w:tc>
          <w:tcPr/>
          <w:p w:rsidR="00000000" w:rsidDel="00000000" w:rsidP="00000000" w:rsidRDefault="00000000" w:rsidRPr="00000000" w14:paraId="0000001B">
            <w:pPr>
              <w:rPr/>
            </w:pPr>
            <w:r w:rsidDel="00000000" w:rsidR="00000000" w:rsidRPr="00000000">
              <w:rPr>
                <w:rtl w:val="0"/>
              </w:rPr>
              <w:t xml:space="preserve">Test from Unit III</w:t>
            </w:r>
          </w:p>
        </w:tc>
      </w:tr>
      <w:tr>
        <w:tc>
          <w:tcPr/>
          <w:p w:rsidR="00000000" w:rsidDel="00000000" w:rsidP="00000000" w:rsidRDefault="00000000" w:rsidRPr="00000000" w14:paraId="0000001C">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IV: Portfolio Analysis and Financial Derivatives:</w:t>
            </w:r>
          </w:p>
          <w:p w:rsidR="00000000" w:rsidDel="00000000" w:rsidP="00000000" w:rsidRDefault="00000000" w:rsidRPr="00000000" w14:paraId="0000001D">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Portfolio Risk and return. Commodities, real estate and mutual funds. Introduction to financial derivatives, financial derivatives markets in India.</w:t>
            </w:r>
          </w:p>
          <w:p w:rsidR="00000000" w:rsidDel="00000000" w:rsidP="00000000" w:rsidRDefault="00000000" w:rsidRPr="00000000" w14:paraId="0000001E">
            <w:pPr>
              <w:spacing w:after="20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20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Unit V: Investor Protection:</w:t>
            </w:r>
          </w:p>
          <w:p w:rsidR="00000000" w:rsidDel="00000000" w:rsidP="00000000" w:rsidRDefault="00000000" w:rsidRPr="00000000" w14:paraId="00000020">
            <w:pPr>
              <w:spacing w:after="200" w:line="276" w:lineRule="auto"/>
              <w:jc w:val="both"/>
              <w:rPr>
                <w:rFonts w:ascii="Cambria" w:cs="Cambria" w:eastAsia="Cambria" w:hAnsi="Cambria"/>
              </w:rPr>
            </w:pPr>
            <w:r w:rsidDel="00000000" w:rsidR="00000000" w:rsidRPr="00000000">
              <w:rPr>
                <w:rFonts w:ascii="Cambria" w:cs="Cambria" w:eastAsia="Cambria" w:hAnsi="Cambria"/>
                <w:rtl w:val="0"/>
              </w:rPr>
              <w:t xml:space="preserve">SEBI &amp; role of stock exchanges in investor protection, investor grievances and their redressal system, insider trading, investors’ awareness and activism</w:t>
            </w:r>
          </w:p>
        </w:tc>
        <w:tc>
          <w:tcPr/>
          <w:p w:rsidR="00000000" w:rsidDel="00000000" w:rsidP="00000000" w:rsidRDefault="00000000" w:rsidRPr="00000000" w14:paraId="00000021">
            <w:pPr>
              <w:rPr/>
            </w:pPr>
            <w:r w:rsidDel="00000000" w:rsidR="00000000" w:rsidRPr="00000000">
              <w:rPr>
                <w:rtl w:val="0"/>
              </w:rPr>
              <w:t xml:space="preserve">April, 2021</w:t>
            </w:r>
          </w:p>
        </w:tc>
        <w:tc>
          <w:tcPr/>
          <w:p w:rsidR="00000000" w:rsidDel="00000000" w:rsidP="00000000" w:rsidRDefault="00000000" w:rsidRPr="00000000" w14:paraId="00000022">
            <w:pPr>
              <w:rPr/>
            </w:pPr>
            <w:r w:rsidDel="00000000" w:rsidR="00000000" w:rsidRPr="00000000">
              <w:rPr>
                <w:rtl w:val="0"/>
              </w:rPr>
              <w:t xml:space="preserve">Quiz from Unit IV and V</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w:t>
      </w:r>
    </w:p>
    <w:p w:rsidR="00000000" w:rsidDel="00000000" w:rsidP="00000000" w:rsidRDefault="00000000" w:rsidRPr="00000000" w14:paraId="00000025">
      <w:pPr>
        <w:numPr>
          <w:ilvl w:val="0"/>
          <w:numId w:val="1"/>
        </w:numPr>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Vanita Tripathi, Fundamentals of Investment</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Prasanna Chandra, Investments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