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E7B" w:rsidRPr="004E6C87" w:rsidRDefault="00F31E7B" w:rsidP="00F31E7B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6C87">
        <w:rPr>
          <w:rFonts w:ascii="Times New Roman" w:hAnsi="Times New Roman" w:cs="Times New Roman"/>
          <w:b/>
          <w:sz w:val="24"/>
          <w:szCs w:val="24"/>
          <w:u w:val="single"/>
        </w:rPr>
        <w:t>Curriculum Plan</w:t>
      </w:r>
      <w:r w:rsidRPr="004E6C87">
        <w:rPr>
          <w:rFonts w:ascii="Times New Roman" w:hAnsi="Times New Roman" w:cs="Times New Roman"/>
          <w:b/>
          <w:sz w:val="24"/>
          <w:szCs w:val="24"/>
        </w:rPr>
        <w:t xml:space="preserve"> (Odd Semester 202</w:t>
      </w:r>
      <w:r>
        <w:rPr>
          <w:rFonts w:ascii="Times New Roman" w:hAnsi="Times New Roman" w:cs="Times New Roman"/>
          <w:b/>
          <w:sz w:val="24"/>
          <w:szCs w:val="24"/>
        </w:rPr>
        <w:t>6-</w:t>
      </w:r>
      <w:r w:rsidRPr="004E6C87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bookmarkStart w:id="0" w:name="_GoBack"/>
      <w:bookmarkEnd w:id="0"/>
      <w:r w:rsidRPr="004E6C87">
        <w:rPr>
          <w:rFonts w:ascii="Times New Roman" w:hAnsi="Times New Roman" w:cs="Times New Roman"/>
          <w:b/>
          <w:sz w:val="24"/>
          <w:szCs w:val="24"/>
        </w:rPr>
        <w:t>)</w:t>
      </w:r>
    </w:p>
    <w:p w:rsidR="00F31E7B" w:rsidRPr="004E6C87" w:rsidRDefault="00F31E7B" w:rsidP="00F31E7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E6C87">
        <w:rPr>
          <w:rFonts w:ascii="Times New Roman" w:hAnsi="Times New Roman" w:cs="Times New Roman"/>
          <w:sz w:val="24"/>
          <w:szCs w:val="24"/>
        </w:rPr>
        <w:t xml:space="preserve">Teacher Name: </w:t>
      </w:r>
      <w:r w:rsidRPr="004E6C87">
        <w:rPr>
          <w:rFonts w:ascii="Times New Roman" w:hAnsi="Times New Roman" w:cs="Times New Roman"/>
          <w:b/>
          <w:sz w:val="24"/>
          <w:szCs w:val="24"/>
        </w:rPr>
        <w:t>Dr. Meenakshi Verma</w:t>
      </w:r>
    </w:p>
    <w:p w:rsidR="00F31E7B" w:rsidRPr="004E6C87" w:rsidRDefault="00F31E7B" w:rsidP="00F31E7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E6C87">
        <w:rPr>
          <w:rFonts w:ascii="Times New Roman" w:hAnsi="Times New Roman" w:cs="Times New Roman"/>
          <w:sz w:val="24"/>
          <w:szCs w:val="24"/>
        </w:rPr>
        <w:t xml:space="preserve">Course: </w:t>
      </w:r>
      <w:r w:rsidRPr="004E6C87">
        <w:rPr>
          <w:rFonts w:ascii="Times New Roman" w:hAnsi="Times New Roman" w:cs="Times New Roman"/>
          <w:b/>
          <w:bCs/>
          <w:sz w:val="24"/>
          <w:szCs w:val="24"/>
        </w:rPr>
        <w:t xml:space="preserve">B.Sc. (H) Chemistry, </w:t>
      </w:r>
      <w:r>
        <w:rPr>
          <w:rFonts w:ascii="Times New Roman" w:hAnsi="Times New Roman" w:cs="Times New Roman"/>
          <w:b/>
          <w:bCs/>
          <w:sz w:val="24"/>
          <w:szCs w:val="24"/>
        </w:rPr>
        <w:t>NEP-UGCF</w:t>
      </w:r>
      <w:r w:rsidRPr="004E6C87">
        <w:rPr>
          <w:rFonts w:ascii="Times New Roman" w:hAnsi="Times New Roman" w:cs="Times New Roman"/>
          <w:b/>
          <w:bCs/>
          <w:sz w:val="24"/>
          <w:szCs w:val="24"/>
        </w:rPr>
        <w:t>, Semester III/ II year</w:t>
      </w:r>
    </w:p>
    <w:p w:rsidR="00F31E7B" w:rsidRPr="004E6C87" w:rsidRDefault="00F31E7B" w:rsidP="00F31E7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E6C87">
        <w:rPr>
          <w:rFonts w:ascii="Times New Roman" w:hAnsi="Times New Roman" w:cs="Times New Roman"/>
          <w:sz w:val="24"/>
          <w:szCs w:val="24"/>
        </w:rPr>
        <w:t>Paper Name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E6C87">
        <w:rPr>
          <w:rFonts w:ascii="Times New Roman" w:hAnsi="Times New Roman" w:cs="Times New Roman"/>
          <w:b/>
          <w:sz w:val="24"/>
          <w:szCs w:val="24"/>
        </w:rPr>
        <w:t xml:space="preserve"> Chemical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6C87">
        <w:rPr>
          <w:rFonts w:ascii="Times New Roman" w:hAnsi="Times New Roman" w:cs="Times New Roman"/>
          <w:b/>
          <w:sz w:val="24"/>
          <w:szCs w:val="24"/>
        </w:rPr>
        <w:t>equilibrium,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6C87">
        <w:rPr>
          <w:rFonts w:ascii="Times New Roman" w:hAnsi="Times New Roman" w:cs="Times New Roman"/>
          <w:b/>
          <w:sz w:val="24"/>
          <w:szCs w:val="24"/>
        </w:rPr>
        <w:t>Ionic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6C87">
        <w:rPr>
          <w:rFonts w:ascii="Times New Roman" w:hAnsi="Times New Roman" w:cs="Times New Roman"/>
          <w:b/>
          <w:sz w:val="24"/>
          <w:szCs w:val="24"/>
        </w:rPr>
        <w:t>equilibrium, conductance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6C87">
        <w:rPr>
          <w:rFonts w:ascii="Times New Roman" w:hAnsi="Times New Roman" w:cs="Times New Roman"/>
          <w:b/>
          <w:sz w:val="24"/>
          <w:szCs w:val="24"/>
        </w:rPr>
        <w:t>and solid state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6C87">
        <w:rPr>
          <w:rFonts w:ascii="Times New Roman" w:hAnsi="Times New Roman" w:cs="Times New Roman"/>
          <w:b/>
          <w:sz w:val="24"/>
          <w:szCs w:val="24"/>
        </w:rPr>
        <w:t>(DSC-9)</w:t>
      </w:r>
      <w:r w:rsidRPr="004E6C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(3</w:t>
      </w:r>
      <w:r w:rsidRPr="004E6C87">
        <w:rPr>
          <w:rFonts w:ascii="Times New Roman" w:hAnsi="Times New Roman" w:cs="Times New Roman"/>
          <w:b/>
          <w:bCs/>
          <w:sz w:val="24"/>
          <w:szCs w:val="24"/>
        </w:rPr>
        <w:t xml:space="preserve"> periods per week)</w:t>
      </w:r>
    </w:p>
    <w:p w:rsidR="00F31E7B" w:rsidRPr="004E6C87" w:rsidRDefault="00F31E7B" w:rsidP="00F31E7B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E6C87">
        <w:rPr>
          <w:rFonts w:ascii="Times New Roman" w:hAnsi="Times New Roman" w:cs="Times New Roman"/>
          <w:sz w:val="24"/>
          <w:szCs w:val="24"/>
        </w:rPr>
        <w:t>UPC</w:t>
      </w:r>
      <w:r w:rsidRPr="004E6C8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470B12">
        <w:rPr>
          <w:rFonts w:ascii="Times New Roman" w:hAnsi="Times New Roman" w:cs="Times New Roman"/>
          <w:b/>
          <w:bCs/>
          <w:sz w:val="24"/>
          <w:szCs w:val="24"/>
        </w:rPr>
        <w:t>2172012303</w:t>
      </w:r>
    </w:p>
    <w:tbl>
      <w:tblPr>
        <w:tblStyle w:val="TableGrid"/>
        <w:tblW w:w="14624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833"/>
        <w:gridCol w:w="7447"/>
        <w:gridCol w:w="1304"/>
        <w:gridCol w:w="2070"/>
        <w:gridCol w:w="2970"/>
      </w:tblGrid>
      <w:tr w:rsidR="00F31E7B" w:rsidRPr="00444757" w:rsidTr="00D96E60">
        <w:tc>
          <w:tcPr>
            <w:tcW w:w="833" w:type="dxa"/>
          </w:tcPr>
          <w:p w:rsidR="00F31E7B" w:rsidRPr="00444757" w:rsidRDefault="00F31E7B" w:rsidP="00D96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757">
              <w:rPr>
                <w:rFonts w:ascii="Times New Roman" w:hAnsi="Times New Roman" w:cs="Times New Roman"/>
                <w:b/>
                <w:sz w:val="24"/>
                <w:szCs w:val="24"/>
              </w:rPr>
              <w:t>S. No.</w:t>
            </w:r>
          </w:p>
        </w:tc>
        <w:tc>
          <w:tcPr>
            <w:tcW w:w="7447" w:type="dxa"/>
          </w:tcPr>
          <w:p w:rsidR="00F31E7B" w:rsidRPr="00444757" w:rsidRDefault="00F31E7B" w:rsidP="00D96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757">
              <w:rPr>
                <w:rFonts w:ascii="Times New Roman" w:hAnsi="Times New Roman" w:cs="Times New Roman"/>
                <w:b/>
                <w:sz w:val="24"/>
                <w:szCs w:val="24"/>
              </w:rPr>
              <w:t>Contents</w:t>
            </w:r>
          </w:p>
          <w:p w:rsidR="00F31E7B" w:rsidRPr="00444757" w:rsidRDefault="00F31E7B" w:rsidP="00D96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F31E7B" w:rsidRPr="00444757" w:rsidRDefault="00F31E7B" w:rsidP="00D96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757">
              <w:rPr>
                <w:rFonts w:ascii="Times New Roman" w:hAnsi="Times New Roman" w:cs="Times New Roman"/>
                <w:b/>
                <w:sz w:val="24"/>
                <w:szCs w:val="24"/>
              </w:rPr>
              <w:t>Allocation of Lectures</w:t>
            </w:r>
          </w:p>
        </w:tc>
        <w:tc>
          <w:tcPr>
            <w:tcW w:w="2070" w:type="dxa"/>
          </w:tcPr>
          <w:p w:rsidR="00F31E7B" w:rsidRPr="00444757" w:rsidRDefault="00F31E7B" w:rsidP="00D96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44757">
              <w:rPr>
                <w:rFonts w:ascii="Times New Roman" w:hAnsi="Times New Roman" w:cs="Times New Roman"/>
                <w:b/>
                <w:sz w:val="24"/>
                <w:szCs w:val="24"/>
              </w:rPr>
              <w:t>Monthwise</w:t>
            </w:r>
            <w:proofErr w:type="spellEnd"/>
            <w:r w:rsidRPr="004447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schedule to be followed</w:t>
            </w:r>
          </w:p>
        </w:tc>
        <w:tc>
          <w:tcPr>
            <w:tcW w:w="2970" w:type="dxa"/>
          </w:tcPr>
          <w:p w:rsidR="00F31E7B" w:rsidRPr="00444757" w:rsidRDefault="00F31E7B" w:rsidP="00D96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7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Assignments/ Presentations </w:t>
            </w:r>
            <w:proofErr w:type="spellStart"/>
            <w:r w:rsidRPr="00444757">
              <w:rPr>
                <w:rFonts w:ascii="Times New Roman" w:hAnsi="Times New Roman" w:cs="Times New Roman"/>
                <w:b/>
                <w:sz w:val="24"/>
                <w:szCs w:val="24"/>
              </w:rPr>
              <w:t>etc</w:t>
            </w:r>
            <w:proofErr w:type="spellEnd"/>
          </w:p>
        </w:tc>
      </w:tr>
      <w:tr w:rsidR="00F31E7B" w:rsidRPr="00444757" w:rsidTr="00D96E60">
        <w:tc>
          <w:tcPr>
            <w:tcW w:w="833" w:type="dxa"/>
          </w:tcPr>
          <w:p w:rsidR="00F31E7B" w:rsidRPr="00444757" w:rsidRDefault="00F31E7B" w:rsidP="00F31E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7" w:type="dxa"/>
          </w:tcPr>
          <w:p w:rsidR="00F31E7B" w:rsidRPr="00444757" w:rsidRDefault="00F31E7B" w:rsidP="00D96E60">
            <w:pPr>
              <w:tabs>
                <w:tab w:val="left" w:pos="7586"/>
              </w:tabs>
              <w:spacing w:before="1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757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b/>
                <w:sz w:val="24"/>
                <w:szCs w:val="24"/>
              </w:rPr>
              <w:t>Ionic</w:t>
            </w:r>
            <w:r w:rsidRPr="0044475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equilibrium</w:t>
            </w:r>
          </w:p>
          <w:p w:rsidR="00F31E7B" w:rsidRPr="00444757" w:rsidRDefault="00F31E7B" w:rsidP="00D96E60">
            <w:pPr>
              <w:pStyle w:val="BodyText"/>
              <w:spacing w:before="234"/>
              <w:ind w:righ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Strong, moderate and weak electrolytes, Arrhenius theory of electrolytic dissociation, degree of ionization, factors affecting degree of ionization, ionization constant and ionic product of water. Ionization of weak</w:t>
            </w:r>
            <w:r w:rsidRPr="004447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acids</w:t>
            </w:r>
            <w:r w:rsidRPr="004447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4447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bases,</w:t>
            </w:r>
            <w:r w:rsidRPr="004447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pH scale, common ion effect; dissociation constants</w:t>
            </w:r>
            <w:r w:rsidRPr="004447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of mono and diprotic</w:t>
            </w:r>
            <w:r w:rsidRPr="004447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acids. Salt hydrolysis−calculation of hydrolysis constant,</w:t>
            </w:r>
            <w:r w:rsidRPr="004447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degree of</w:t>
            </w:r>
            <w:r w:rsidRPr="0044475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hydrolysis and pH for different salts. Buffer solutions; derivation of Henderson equation and its applications. Solubility and solubility product of sparingly soluble salts − applications of solubility product principle. Qualitative treatment of acid − base titration curves. Theory of acid−base indicators; selection of indicators and their limitations.</w:t>
            </w:r>
          </w:p>
        </w:tc>
        <w:tc>
          <w:tcPr>
            <w:tcW w:w="1304" w:type="dxa"/>
            <w:vAlign w:val="center"/>
          </w:tcPr>
          <w:p w:rsidR="00F31E7B" w:rsidRPr="00444757" w:rsidRDefault="00F31E7B" w:rsidP="00D96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5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070" w:type="dxa"/>
            <w:vAlign w:val="center"/>
          </w:tcPr>
          <w:p w:rsidR="00F31E7B" w:rsidRPr="00444757" w:rsidRDefault="00F31E7B" w:rsidP="00D9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757">
              <w:rPr>
                <w:rFonts w:ascii="Times New Roman" w:hAnsi="Times New Roman" w:cs="Times New Roman"/>
                <w:b/>
                <w:sz w:val="24"/>
                <w:szCs w:val="24"/>
              </w:rPr>
              <w:t>First week August – Fourth week August</w:t>
            </w:r>
          </w:p>
        </w:tc>
        <w:tc>
          <w:tcPr>
            <w:tcW w:w="2970" w:type="dxa"/>
            <w:vAlign w:val="center"/>
          </w:tcPr>
          <w:p w:rsidR="00F31E7B" w:rsidRPr="00444757" w:rsidRDefault="00F31E7B" w:rsidP="00D96E60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E7B" w:rsidRPr="00444757" w:rsidRDefault="00F31E7B" w:rsidP="00D96E60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757">
              <w:rPr>
                <w:rFonts w:ascii="Times New Roman" w:hAnsi="Times New Roman" w:cs="Times New Roman"/>
                <w:b/>
                <w:sz w:val="24"/>
                <w:szCs w:val="24"/>
              </w:rPr>
              <w:t>Syllabus overview</w:t>
            </w:r>
          </w:p>
          <w:p w:rsidR="00F31E7B" w:rsidRPr="00444757" w:rsidRDefault="00F31E7B" w:rsidP="00D96E60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757">
              <w:rPr>
                <w:rFonts w:ascii="Times New Roman" w:hAnsi="Times New Roman" w:cs="Times New Roman"/>
                <w:b/>
                <w:sz w:val="24"/>
                <w:szCs w:val="24"/>
              </w:rPr>
              <w:t>Reference books suggestions</w:t>
            </w:r>
          </w:p>
          <w:p w:rsidR="00F31E7B" w:rsidRPr="00444757" w:rsidRDefault="00F31E7B" w:rsidP="00D96E60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757">
              <w:rPr>
                <w:rFonts w:ascii="Times New Roman" w:hAnsi="Times New Roman" w:cs="Times New Roman"/>
                <w:b/>
                <w:sz w:val="24"/>
                <w:szCs w:val="24"/>
              </w:rPr>
              <w:t>Numerical Solving</w:t>
            </w:r>
          </w:p>
          <w:p w:rsidR="00F31E7B" w:rsidRPr="00444757" w:rsidRDefault="00F31E7B" w:rsidP="00D96E60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757">
              <w:rPr>
                <w:rFonts w:ascii="Times New Roman" w:hAnsi="Times New Roman" w:cs="Times New Roman"/>
                <w:b/>
                <w:sz w:val="24"/>
                <w:szCs w:val="24"/>
              </w:rPr>
              <w:t>Doubt Session</w:t>
            </w:r>
          </w:p>
          <w:p w:rsidR="00F31E7B" w:rsidRPr="00444757" w:rsidRDefault="00F31E7B" w:rsidP="00D96E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757">
              <w:rPr>
                <w:rFonts w:ascii="Times New Roman" w:hAnsi="Times New Roman" w:cs="Times New Roman"/>
                <w:b/>
                <w:sz w:val="24"/>
                <w:szCs w:val="24"/>
              </w:rPr>
              <w:t>Class Test</w:t>
            </w:r>
          </w:p>
        </w:tc>
      </w:tr>
      <w:tr w:rsidR="00F31E7B" w:rsidRPr="00444757" w:rsidTr="00D96E60">
        <w:tc>
          <w:tcPr>
            <w:tcW w:w="833" w:type="dxa"/>
          </w:tcPr>
          <w:p w:rsidR="00F31E7B" w:rsidRPr="00444757" w:rsidRDefault="00F31E7B" w:rsidP="00F31E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7" w:type="dxa"/>
          </w:tcPr>
          <w:p w:rsidR="00F31E7B" w:rsidRPr="00444757" w:rsidRDefault="00F31E7B" w:rsidP="00D96E60">
            <w:pPr>
              <w:tabs>
                <w:tab w:val="left" w:pos="7433"/>
              </w:tabs>
              <w:spacing w:before="233"/>
              <w:ind w:left="1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75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Conductance</w:t>
            </w:r>
          </w:p>
          <w:p w:rsidR="00F31E7B" w:rsidRPr="00444757" w:rsidRDefault="00F31E7B" w:rsidP="00D96E60">
            <w:pPr>
              <w:pStyle w:val="BodyText"/>
              <w:spacing w:before="235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Quantitative aspects of Faraday’s laws of electrolysis, Conductivity, equivalent and molar conductivity</w:t>
            </w:r>
            <w:r w:rsidRPr="004447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4447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their</w:t>
            </w:r>
            <w:r w:rsidRPr="004447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variation</w:t>
            </w:r>
            <w:r w:rsidRPr="004447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44475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dilution</w:t>
            </w:r>
            <w:r w:rsidRPr="004447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44475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  <w:r w:rsidRPr="004447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4447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  <w:r w:rsidRPr="0044475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electrolytes.</w:t>
            </w:r>
            <w:r w:rsidRPr="004447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Molar</w:t>
            </w:r>
            <w:r w:rsidRPr="0044475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 xml:space="preserve">conductivity at infinite dilution. </w:t>
            </w:r>
            <w:proofErr w:type="spellStart"/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Kohlrausch’s</w:t>
            </w:r>
            <w:proofErr w:type="spellEnd"/>
            <w:r w:rsidRPr="00444757">
              <w:rPr>
                <w:rFonts w:ascii="Times New Roman" w:hAnsi="Times New Roman" w:cs="Times New Roman"/>
                <w:sz w:val="24"/>
                <w:szCs w:val="24"/>
              </w:rPr>
              <w:t xml:space="preserve"> law of independent migration of ions. Debye−</w:t>
            </w:r>
            <w:proofErr w:type="spellStart"/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Huckel</w:t>
            </w:r>
            <w:proofErr w:type="spellEnd"/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−Onsager equation,</w:t>
            </w:r>
            <w:r w:rsidRPr="0044475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Wien</w:t>
            </w:r>
            <w:r w:rsidRPr="004447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effect,</w:t>
            </w:r>
            <w:r w:rsidRPr="0044475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Debye−</w:t>
            </w:r>
            <w:proofErr w:type="spellStart"/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Falkenhagen</w:t>
            </w:r>
            <w:proofErr w:type="spellEnd"/>
            <w:r w:rsidRPr="004447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effect,</w:t>
            </w:r>
            <w:r w:rsidRPr="0044475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Walden’s</w:t>
            </w:r>
            <w:r w:rsidRPr="0044475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rule.</w:t>
            </w:r>
            <w:r w:rsidRPr="0044475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Ionic</w:t>
            </w:r>
            <w:r w:rsidRPr="0044475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velocity,</w:t>
            </w:r>
            <w:r w:rsidRPr="004447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mobility</w:t>
            </w:r>
            <w:r w:rsidRPr="0044475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44475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 xml:space="preserve">their determination, transference number and its relation to ionic mobility, determination of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transference number using Moving Boundary methods. Applications of conductance measurement: (i) degree of dissociation of weak electrolytes, (ii) ionic product of water (iii) solubility and solubility product of sparingly soluble salts, (iv) conductometric titrations (v) hydrolysis constants of salts.</w:t>
            </w:r>
          </w:p>
          <w:p w:rsidR="00F31E7B" w:rsidRPr="00444757" w:rsidRDefault="00F31E7B" w:rsidP="00D96E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F31E7B" w:rsidRPr="00444757" w:rsidRDefault="00F31E7B" w:rsidP="00D96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2070" w:type="dxa"/>
            <w:vAlign w:val="center"/>
          </w:tcPr>
          <w:p w:rsidR="00F31E7B" w:rsidRPr="00444757" w:rsidRDefault="00F31E7B" w:rsidP="00D9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757">
              <w:rPr>
                <w:rFonts w:ascii="Times New Roman" w:hAnsi="Times New Roman" w:cs="Times New Roman"/>
                <w:b/>
                <w:sz w:val="24"/>
                <w:szCs w:val="24"/>
              </w:rPr>
              <w:t>First week September – Fourth week September</w:t>
            </w:r>
          </w:p>
        </w:tc>
        <w:tc>
          <w:tcPr>
            <w:tcW w:w="2970" w:type="dxa"/>
            <w:vAlign w:val="center"/>
          </w:tcPr>
          <w:p w:rsidR="00F31E7B" w:rsidRPr="00444757" w:rsidRDefault="00F31E7B" w:rsidP="00D96E60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757">
              <w:rPr>
                <w:rFonts w:ascii="Times New Roman" w:hAnsi="Times New Roman" w:cs="Times New Roman"/>
                <w:b/>
                <w:sz w:val="24"/>
                <w:szCs w:val="24"/>
              </w:rPr>
              <w:t>Numerical Solving</w:t>
            </w:r>
          </w:p>
          <w:p w:rsidR="00F31E7B" w:rsidRPr="00444757" w:rsidRDefault="00F31E7B" w:rsidP="00D96E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757">
              <w:rPr>
                <w:rFonts w:ascii="Times New Roman" w:hAnsi="Times New Roman" w:cs="Times New Roman"/>
                <w:b/>
                <w:sz w:val="24"/>
                <w:szCs w:val="24"/>
              </w:rPr>
              <w:t>Doubt Session</w:t>
            </w:r>
          </w:p>
          <w:p w:rsidR="00F31E7B" w:rsidRPr="00444757" w:rsidRDefault="00F31E7B" w:rsidP="00D9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757">
              <w:rPr>
                <w:rFonts w:ascii="Times New Roman" w:hAnsi="Times New Roman" w:cs="Times New Roman"/>
                <w:b/>
                <w:sz w:val="24"/>
                <w:szCs w:val="24"/>
              </w:rPr>
              <w:t>University Papers Discussion</w:t>
            </w:r>
          </w:p>
        </w:tc>
      </w:tr>
      <w:tr w:rsidR="00F31E7B" w:rsidRPr="00444757" w:rsidTr="00D96E60">
        <w:tc>
          <w:tcPr>
            <w:tcW w:w="833" w:type="dxa"/>
          </w:tcPr>
          <w:p w:rsidR="00F31E7B" w:rsidRPr="00444757" w:rsidRDefault="00F31E7B" w:rsidP="00F31E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7" w:type="dxa"/>
          </w:tcPr>
          <w:p w:rsidR="00F31E7B" w:rsidRDefault="00F31E7B" w:rsidP="00D96E6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57">
              <w:rPr>
                <w:rFonts w:ascii="Times New Roman" w:hAnsi="Times New Roman" w:cs="Times New Roman"/>
                <w:b/>
                <w:sz w:val="24"/>
                <w:szCs w:val="24"/>
              </w:rPr>
              <w:t>Solid State: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31E7B" w:rsidRPr="00444757" w:rsidRDefault="00F31E7B" w:rsidP="00D96E6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Nature of the solid state, law of constancy of interfacial angles, law of rational indices, Miller indices, elementary idea</w:t>
            </w:r>
            <w:r w:rsidRPr="004447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of symmetry, seven crystal systems</w:t>
            </w:r>
            <w:r w:rsidRPr="004447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 xml:space="preserve">and fourteen </w:t>
            </w:r>
            <w:proofErr w:type="spellStart"/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Bravais</w:t>
            </w:r>
            <w:proofErr w:type="spellEnd"/>
            <w:r w:rsidRPr="00444757">
              <w:rPr>
                <w:rFonts w:ascii="Times New Roman" w:hAnsi="Times New Roman" w:cs="Times New Roman"/>
                <w:sz w:val="24"/>
                <w:szCs w:val="24"/>
              </w:rPr>
              <w:t xml:space="preserve"> lattices; X−ray diffraction,</w:t>
            </w:r>
            <w:r w:rsidRPr="0044475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Bragg’s</w:t>
            </w:r>
            <w:r w:rsidRPr="004447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law,</w:t>
            </w:r>
            <w:r w:rsidRPr="004447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447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simple account</w:t>
            </w:r>
            <w:r w:rsidRPr="004447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4447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rotating</w:t>
            </w:r>
            <w:r w:rsidRPr="004447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crystal</w:t>
            </w:r>
            <w:r w:rsidRPr="0044475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method</w:t>
            </w:r>
            <w:r w:rsidRPr="0044475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4447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powder</w:t>
            </w:r>
            <w:r w:rsidRPr="0044475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pattern</w:t>
            </w:r>
            <w:r w:rsidRPr="0044475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 xml:space="preserve">method. Analysis of powder diffraction patterns of NaCl, </w:t>
            </w:r>
            <w:proofErr w:type="spellStart"/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CsCl</w:t>
            </w:r>
            <w:proofErr w:type="spellEnd"/>
            <w:r w:rsidRPr="00444757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KCl</w:t>
            </w:r>
            <w:proofErr w:type="spellEnd"/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4" w:type="dxa"/>
            <w:vAlign w:val="center"/>
          </w:tcPr>
          <w:p w:rsidR="00F31E7B" w:rsidRPr="00444757" w:rsidRDefault="00F31E7B" w:rsidP="00D96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5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070" w:type="dxa"/>
            <w:vAlign w:val="center"/>
          </w:tcPr>
          <w:p w:rsidR="00F31E7B" w:rsidRPr="00444757" w:rsidRDefault="00F31E7B" w:rsidP="00D9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757">
              <w:rPr>
                <w:rFonts w:ascii="Times New Roman" w:hAnsi="Times New Roman" w:cs="Times New Roman"/>
                <w:b/>
                <w:sz w:val="24"/>
                <w:szCs w:val="24"/>
              </w:rPr>
              <w:t>First week October – First week November</w:t>
            </w:r>
          </w:p>
        </w:tc>
        <w:tc>
          <w:tcPr>
            <w:tcW w:w="2970" w:type="dxa"/>
            <w:vAlign w:val="center"/>
          </w:tcPr>
          <w:p w:rsidR="00F31E7B" w:rsidRPr="00444757" w:rsidRDefault="00F31E7B" w:rsidP="00D96E60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757">
              <w:rPr>
                <w:rFonts w:ascii="Times New Roman" w:hAnsi="Times New Roman" w:cs="Times New Roman"/>
                <w:b/>
                <w:sz w:val="24"/>
                <w:szCs w:val="24"/>
              </w:rPr>
              <w:t>Numerical Solving</w:t>
            </w:r>
          </w:p>
          <w:p w:rsidR="00F31E7B" w:rsidRPr="00444757" w:rsidRDefault="00F31E7B" w:rsidP="00D96E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757">
              <w:rPr>
                <w:rFonts w:ascii="Times New Roman" w:hAnsi="Times New Roman" w:cs="Times New Roman"/>
                <w:b/>
                <w:sz w:val="24"/>
                <w:szCs w:val="24"/>
              </w:rPr>
              <w:t>Doubt Session</w:t>
            </w:r>
          </w:p>
          <w:p w:rsidR="00F31E7B" w:rsidRPr="00444757" w:rsidRDefault="00F31E7B" w:rsidP="00D96E60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757">
              <w:rPr>
                <w:rFonts w:ascii="Times New Roman" w:hAnsi="Times New Roman" w:cs="Times New Roman"/>
                <w:b/>
                <w:sz w:val="24"/>
                <w:szCs w:val="24"/>
              </w:rPr>
              <w:t>University Papers Discussion</w:t>
            </w:r>
          </w:p>
          <w:p w:rsidR="00F31E7B" w:rsidRPr="00444757" w:rsidRDefault="00F31E7B" w:rsidP="00D96E60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757">
              <w:rPr>
                <w:rFonts w:ascii="Times New Roman" w:hAnsi="Times New Roman" w:cs="Times New Roman"/>
                <w:b/>
                <w:sz w:val="24"/>
                <w:szCs w:val="24"/>
              </w:rPr>
              <w:t>Assignment Distribution</w:t>
            </w:r>
          </w:p>
        </w:tc>
      </w:tr>
      <w:tr w:rsidR="00F31E7B" w:rsidRPr="00444757" w:rsidTr="00D96E60">
        <w:tc>
          <w:tcPr>
            <w:tcW w:w="833" w:type="dxa"/>
          </w:tcPr>
          <w:p w:rsidR="00F31E7B" w:rsidRPr="00444757" w:rsidRDefault="00F31E7B" w:rsidP="00F31E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7" w:type="dxa"/>
          </w:tcPr>
          <w:p w:rsidR="00F31E7B" w:rsidRPr="00444757" w:rsidRDefault="00F31E7B" w:rsidP="00D96E60">
            <w:pPr>
              <w:tabs>
                <w:tab w:val="left" w:pos="779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757">
              <w:rPr>
                <w:rFonts w:ascii="Times New Roman" w:hAnsi="Times New Roman" w:cs="Times New Roman"/>
                <w:b/>
                <w:sz w:val="24"/>
                <w:szCs w:val="24"/>
              </w:rPr>
              <w:t>Chemical</w:t>
            </w:r>
            <w:r w:rsidRPr="0044475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4475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Equilibrium</w:t>
            </w:r>
          </w:p>
          <w:p w:rsidR="00F31E7B" w:rsidRPr="00444757" w:rsidRDefault="00F31E7B" w:rsidP="00D96E60">
            <w:pPr>
              <w:pStyle w:val="BodyText"/>
              <w:spacing w:before="2"/>
              <w:ind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757">
              <w:rPr>
                <w:rFonts w:ascii="Times New Roman" w:hAnsi="Times New Roman" w:cs="Times New Roman"/>
                <w:sz w:val="24"/>
                <w:szCs w:val="24"/>
              </w:rPr>
              <w:t xml:space="preserve">Criteria of thermodynamic equilibrium, degree of advancement of reaction, Chemical equilibria in ideal gases, Thermodynamic derivation of relation between Gibbs free energy of a reaction and reaction quotient, Equilibrium constants and their dependence on temperature, pressure and concentration, Le </w:t>
            </w:r>
            <w:proofErr w:type="spellStart"/>
            <w:r w:rsidRPr="00444757">
              <w:rPr>
                <w:rFonts w:ascii="Times New Roman" w:hAnsi="Times New Roman" w:cs="Times New Roman"/>
                <w:sz w:val="24"/>
                <w:szCs w:val="24"/>
              </w:rPr>
              <w:t>Chatelier’s</w:t>
            </w:r>
            <w:proofErr w:type="spellEnd"/>
            <w:r w:rsidRPr="00444757">
              <w:rPr>
                <w:rFonts w:ascii="Times New Roman" w:hAnsi="Times New Roman" w:cs="Times New Roman"/>
                <w:sz w:val="24"/>
                <w:szCs w:val="24"/>
              </w:rPr>
              <w:t xml:space="preserve"> Principle (Quantitative treatment), Free energy of mixing and spontaneity (qualitative discussion).</w:t>
            </w:r>
          </w:p>
        </w:tc>
        <w:tc>
          <w:tcPr>
            <w:tcW w:w="1304" w:type="dxa"/>
            <w:vAlign w:val="center"/>
          </w:tcPr>
          <w:p w:rsidR="00F31E7B" w:rsidRPr="00444757" w:rsidRDefault="00F31E7B" w:rsidP="00D96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75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70" w:type="dxa"/>
            <w:vAlign w:val="center"/>
          </w:tcPr>
          <w:p w:rsidR="00F31E7B" w:rsidRPr="00444757" w:rsidRDefault="00F31E7B" w:rsidP="00D96E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757">
              <w:rPr>
                <w:rFonts w:ascii="Times New Roman" w:hAnsi="Times New Roman" w:cs="Times New Roman"/>
                <w:b/>
                <w:sz w:val="24"/>
                <w:szCs w:val="24"/>
              </w:rPr>
              <w:t>Second week November - Third week November</w:t>
            </w:r>
          </w:p>
        </w:tc>
        <w:tc>
          <w:tcPr>
            <w:tcW w:w="2970" w:type="dxa"/>
            <w:vAlign w:val="center"/>
          </w:tcPr>
          <w:p w:rsidR="00F31E7B" w:rsidRPr="00444757" w:rsidRDefault="00F31E7B" w:rsidP="00D96E60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757">
              <w:rPr>
                <w:rFonts w:ascii="Times New Roman" w:hAnsi="Times New Roman" w:cs="Times New Roman"/>
                <w:b/>
                <w:sz w:val="24"/>
                <w:szCs w:val="24"/>
              </w:rPr>
              <w:t>Numerical Solving</w:t>
            </w:r>
          </w:p>
          <w:p w:rsidR="00F31E7B" w:rsidRPr="00444757" w:rsidRDefault="00F31E7B" w:rsidP="00D96E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757">
              <w:rPr>
                <w:rFonts w:ascii="Times New Roman" w:hAnsi="Times New Roman" w:cs="Times New Roman"/>
                <w:b/>
                <w:sz w:val="24"/>
                <w:szCs w:val="24"/>
              </w:rPr>
              <w:t>Doubt Session</w:t>
            </w:r>
          </w:p>
          <w:p w:rsidR="00F31E7B" w:rsidRPr="00444757" w:rsidRDefault="00F31E7B" w:rsidP="00D96E60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757">
              <w:rPr>
                <w:rFonts w:ascii="Times New Roman" w:hAnsi="Times New Roman" w:cs="Times New Roman"/>
                <w:b/>
                <w:sz w:val="24"/>
                <w:szCs w:val="24"/>
              </w:rPr>
              <w:t>University Papers Discussion</w:t>
            </w:r>
          </w:p>
        </w:tc>
      </w:tr>
    </w:tbl>
    <w:p w:rsidR="00F31E7B" w:rsidRPr="004E6C87" w:rsidRDefault="00F31E7B" w:rsidP="00F31E7B">
      <w:pPr>
        <w:rPr>
          <w:rFonts w:ascii="Times New Roman" w:hAnsi="Times New Roman" w:cs="Times New Roman"/>
          <w:sz w:val="24"/>
          <w:szCs w:val="24"/>
        </w:rPr>
      </w:pPr>
    </w:p>
    <w:p w:rsidR="00F31E7B" w:rsidRPr="004E6C87" w:rsidRDefault="00F31E7B" w:rsidP="00F31E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E6C87">
        <w:rPr>
          <w:rFonts w:ascii="Times New Roman" w:hAnsi="Times New Roman" w:cs="Times New Roman"/>
          <w:sz w:val="24"/>
          <w:szCs w:val="24"/>
        </w:rPr>
        <w:tab/>
      </w:r>
      <w:r w:rsidRPr="004E6C87">
        <w:rPr>
          <w:rFonts w:ascii="Times New Roman" w:hAnsi="Times New Roman" w:cs="Times New Roman"/>
          <w:sz w:val="24"/>
          <w:szCs w:val="24"/>
        </w:rPr>
        <w:tab/>
      </w:r>
      <w:r w:rsidRPr="004E6C87">
        <w:rPr>
          <w:rFonts w:ascii="Times New Roman" w:hAnsi="Times New Roman" w:cs="Times New Roman"/>
          <w:sz w:val="24"/>
          <w:szCs w:val="24"/>
        </w:rPr>
        <w:tab/>
      </w:r>
      <w:r w:rsidRPr="004E6C87">
        <w:rPr>
          <w:rFonts w:ascii="Times New Roman" w:hAnsi="Times New Roman" w:cs="Times New Roman"/>
          <w:sz w:val="24"/>
          <w:szCs w:val="24"/>
        </w:rPr>
        <w:tab/>
      </w:r>
      <w:r w:rsidRPr="004E6C87">
        <w:rPr>
          <w:rFonts w:ascii="Times New Roman" w:hAnsi="Times New Roman" w:cs="Times New Roman"/>
          <w:sz w:val="24"/>
          <w:szCs w:val="24"/>
        </w:rPr>
        <w:tab/>
      </w:r>
      <w:r w:rsidRPr="004E6C87">
        <w:rPr>
          <w:rFonts w:ascii="Times New Roman" w:hAnsi="Times New Roman" w:cs="Times New Roman"/>
          <w:sz w:val="24"/>
          <w:szCs w:val="24"/>
        </w:rPr>
        <w:tab/>
      </w:r>
      <w:r w:rsidRPr="004E6C87">
        <w:rPr>
          <w:rFonts w:ascii="Times New Roman" w:hAnsi="Times New Roman" w:cs="Times New Roman"/>
          <w:sz w:val="24"/>
          <w:szCs w:val="24"/>
        </w:rPr>
        <w:tab/>
      </w:r>
      <w:r w:rsidRPr="004E6C87">
        <w:rPr>
          <w:rFonts w:ascii="Times New Roman" w:hAnsi="Times New Roman" w:cs="Times New Roman"/>
          <w:sz w:val="24"/>
          <w:szCs w:val="24"/>
        </w:rPr>
        <w:tab/>
      </w:r>
      <w:r w:rsidRPr="004E6C87">
        <w:rPr>
          <w:rFonts w:ascii="Times New Roman" w:hAnsi="Times New Roman" w:cs="Times New Roman"/>
          <w:sz w:val="24"/>
          <w:szCs w:val="24"/>
        </w:rPr>
        <w:tab/>
      </w:r>
      <w:r w:rsidRPr="004E6C87">
        <w:rPr>
          <w:rFonts w:ascii="Times New Roman" w:hAnsi="Times New Roman" w:cs="Times New Roman"/>
          <w:sz w:val="24"/>
          <w:szCs w:val="24"/>
        </w:rPr>
        <w:tab/>
      </w:r>
      <w:r w:rsidRPr="004E6C87">
        <w:rPr>
          <w:rFonts w:ascii="Times New Roman" w:hAnsi="Times New Roman" w:cs="Times New Roman"/>
          <w:sz w:val="24"/>
          <w:szCs w:val="24"/>
        </w:rPr>
        <w:tab/>
      </w:r>
      <w:r w:rsidRPr="004E6C87">
        <w:rPr>
          <w:rFonts w:ascii="Times New Roman" w:hAnsi="Times New Roman" w:cs="Times New Roman"/>
          <w:sz w:val="24"/>
          <w:szCs w:val="24"/>
        </w:rPr>
        <w:tab/>
      </w:r>
      <w:r w:rsidRPr="004E6C87">
        <w:rPr>
          <w:rFonts w:ascii="Times New Roman" w:hAnsi="Times New Roman" w:cs="Times New Roman"/>
          <w:sz w:val="24"/>
          <w:szCs w:val="24"/>
        </w:rPr>
        <w:tab/>
      </w:r>
      <w:r w:rsidRPr="004E6C87">
        <w:rPr>
          <w:rFonts w:ascii="Times New Roman" w:hAnsi="Times New Roman" w:cs="Times New Roman"/>
          <w:sz w:val="24"/>
          <w:szCs w:val="24"/>
        </w:rPr>
        <w:tab/>
      </w:r>
      <w:r w:rsidRPr="004E6C87">
        <w:rPr>
          <w:rFonts w:ascii="Times New Roman" w:hAnsi="Times New Roman" w:cs="Times New Roman"/>
          <w:b/>
          <w:sz w:val="24"/>
          <w:szCs w:val="24"/>
        </w:rPr>
        <w:t>DR. MEENAKSHI VERMA</w:t>
      </w:r>
    </w:p>
    <w:p w:rsidR="00F31E7B" w:rsidRPr="004E6C87" w:rsidRDefault="00F31E7B" w:rsidP="00F31E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E6C87">
        <w:rPr>
          <w:rFonts w:ascii="Times New Roman" w:hAnsi="Times New Roman" w:cs="Times New Roman"/>
          <w:b/>
          <w:sz w:val="24"/>
          <w:szCs w:val="24"/>
        </w:rPr>
        <w:t>Department of Chemistry</w:t>
      </w:r>
    </w:p>
    <w:p w:rsidR="00F31E7B" w:rsidRPr="004E6C87" w:rsidRDefault="00F31E7B" w:rsidP="00F31E7B">
      <w:pPr>
        <w:rPr>
          <w:rFonts w:ascii="Times New Roman" w:hAnsi="Times New Roman" w:cs="Times New Roman"/>
          <w:sz w:val="24"/>
          <w:szCs w:val="24"/>
        </w:rPr>
      </w:pPr>
    </w:p>
    <w:p w:rsidR="00B43626" w:rsidRDefault="00B43626"/>
    <w:sectPr w:rsidR="00B43626" w:rsidSect="000F3A6D">
      <w:pgSz w:w="15840" w:h="12240" w:orient="landscape"/>
      <w:pgMar w:top="360" w:right="81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313712"/>
    <w:multiLevelType w:val="hybridMultilevel"/>
    <w:tmpl w:val="E428578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E7B"/>
    <w:rsid w:val="00777144"/>
    <w:rsid w:val="007949A0"/>
    <w:rsid w:val="00B43626"/>
    <w:rsid w:val="00ED0EAE"/>
    <w:rsid w:val="00F3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E7B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1E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31E7B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F31E7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F31E7B"/>
    <w:rPr>
      <w:rFonts w:ascii="Calibri" w:eastAsia="Calibri" w:hAnsi="Calibri" w:cs="Calibri"/>
      <w:sz w:val="23"/>
      <w:szCs w:val="23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E7B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1E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31E7B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F31E7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F31E7B"/>
    <w:rPr>
      <w:rFonts w:ascii="Calibri" w:eastAsia="Calibri" w:hAnsi="Calibri" w:cs="Calibri"/>
      <w:sz w:val="23"/>
      <w:szCs w:val="2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485</Words>
  <Characters>2767</Characters>
  <Application>Microsoft Office Word</Application>
  <DocSecurity>0</DocSecurity>
  <Lines>23</Lines>
  <Paragraphs>6</Paragraphs>
  <ScaleCrop>false</ScaleCrop>
  <Company>HP</Company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singhiskingh83@gmail.com</dc:creator>
  <cp:lastModifiedBy>singhiskingh83@gmail.com</cp:lastModifiedBy>
  <cp:revision>1</cp:revision>
  <dcterms:created xsi:type="dcterms:W3CDTF">2026-09-02T05:18:00Z</dcterms:created>
  <dcterms:modified xsi:type="dcterms:W3CDTF">2026-09-02T05:20:00Z</dcterms:modified>
</cp:coreProperties>
</file>