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r>
        <w:rPr>
          <w:b/>
          <w:sz w:val="30"/>
          <w:szCs w:val="30"/>
          <w:u w:val="single"/>
          <w:rtl w:val="0"/>
        </w:rPr>
        <w:t>ADITY  CHOWDHURY</w:t>
      </w:r>
    </w:p>
    <w:p>
      <w:pPr>
        <w:jc w:val="center"/>
        <w:rPr>
          <w:u w:val="single"/>
        </w:rPr>
      </w:pPr>
    </w:p>
    <w:p>
      <w:pPr>
        <w:jc w:val="center"/>
        <w:rPr>
          <w:rtl w:val="0"/>
        </w:rPr>
      </w:pPr>
      <w:r>
        <w:rPr>
          <w:rtl w:val="0"/>
        </w:rPr>
        <w:t>CURRICULUM PLAN 2020-21(TENTATIVE)</w:t>
      </w:r>
    </w:p>
    <w:p>
      <w:pPr>
        <w:jc w:val="center"/>
        <w:rPr>
          <w:rtl w:val="0"/>
        </w:rPr>
      </w:pPr>
      <w:r>
        <w:rPr>
          <w:rFonts w:hint="default"/>
          <w:rtl w:val="0"/>
          <w:lang w:val="en-IN"/>
        </w:rPr>
        <w:t>(</w:t>
      </w:r>
      <w:r>
        <w:rPr>
          <w:rtl w:val="0"/>
        </w:rPr>
        <w:t>Ja</w:t>
      </w:r>
      <w:r>
        <w:rPr>
          <w:rFonts w:hint="default"/>
          <w:rtl w:val="0"/>
          <w:lang w:val="en-IN"/>
        </w:rPr>
        <w:t>n</w:t>
      </w:r>
      <w:r>
        <w:rPr>
          <w:rtl w:val="0"/>
        </w:rPr>
        <w:t>uary – April 2021)</w:t>
      </w:r>
    </w:p>
    <w:tbl>
      <w:tblPr>
        <w:tblStyle w:val="4"/>
        <w:tblpPr w:leftFromText="180" w:rightFromText="180" w:vertAnchor="text" w:horzAnchor="page" w:tblpX="1292" w:tblpY="1479"/>
        <w:tblOverlap w:val="never"/>
        <w:tblW w:w="9915" w:type="dxa"/>
        <w:tblInd w:w="0" w:type="dxa"/>
        <w:tblLayout w:type="fixed"/>
        <w:tblCellMar>
          <w:top w:w="0" w:type="dxa"/>
          <w:left w:w="2" w:type="dxa"/>
          <w:bottom w:w="0" w:type="dxa"/>
          <w:right w:w="0" w:type="dxa"/>
        </w:tblCellMar>
      </w:tblPr>
      <w:tblGrid>
        <w:gridCol w:w="3030"/>
        <w:gridCol w:w="1530"/>
        <w:gridCol w:w="1605"/>
        <w:gridCol w:w="3750"/>
      </w:tblGrid>
      <w:tr>
        <w:tblPrEx>
          <w:tblCellMar>
            <w:top w:w="0" w:type="dxa"/>
            <w:left w:w="2" w:type="dxa"/>
            <w:bottom w:w="0" w:type="dxa"/>
            <w:right w:w="0" w:type="dxa"/>
          </w:tblCellMar>
        </w:tblPrEx>
        <w:trPr>
          <w:trHeight w:val="1170" w:hRule="atLeast"/>
        </w:trPr>
        <w:tc>
          <w:tcPr>
            <w:tcBorders>
              <w:top w:val="single" w:color="000000" w:sz="4" w:space="0"/>
              <w:left w:val="single" w:color="000000" w:sz="4" w:space="0"/>
              <w:bottom w:val="single" w:color="000000" w:sz="4" w:space="0"/>
            </w:tcBorders>
            <w:shd w:val="clear" w:color="auto" w:fill="FFFFFF"/>
            <w:vAlign w:val="center"/>
          </w:tcPr>
          <w:p>
            <w:pPr>
              <w:jc w:val="center"/>
              <w:rPr>
                <w:rFonts w:hint="default"/>
                <w:b/>
                <w:lang w:val="en-IN"/>
              </w:rPr>
            </w:pPr>
            <w:r>
              <w:rPr>
                <w:rFonts w:hint="default"/>
                <w:b/>
                <w:lang w:val="en-IN"/>
              </w:rPr>
              <w:t>Name of the Paper</w:t>
            </w:r>
          </w:p>
        </w:tc>
        <w:tc>
          <w:tcPr>
            <w:tcBorders>
              <w:top w:val="single" w:color="000000" w:sz="4" w:space="0"/>
              <w:left w:val="single" w:color="000000" w:sz="4" w:space="0"/>
              <w:bottom w:val="single" w:color="000000" w:sz="4" w:space="0"/>
            </w:tcBorders>
            <w:shd w:val="clear" w:color="auto" w:fill="FFFFFF"/>
          </w:tcPr>
          <w:p>
            <w:pPr>
              <w:jc w:val="center"/>
              <w:rPr>
                <w:b/>
              </w:rPr>
            </w:pPr>
            <w:r>
              <w:rPr>
                <w:b/>
                <w:rtl w:val="0"/>
              </w:rPr>
              <w:t>Allocation of Lectures</w:t>
            </w:r>
          </w:p>
        </w:tc>
        <w:tc>
          <w:tcPr>
            <w:tcBorders>
              <w:top w:val="single" w:color="000000" w:sz="4" w:space="0"/>
              <w:left w:val="single" w:color="000000" w:sz="4" w:space="0"/>
              <w:bottom w:val="single" w:color="000000" w:sz="4" w:space="0"/>
            </w:tcBorders>
            <w:shd w:val="clear" w:color="auto" w:fill="FFFFFF"/>
          </w:tcPr>
          <w:p>
            <w:pPr>
              <w:jc w:val="center"/>
              <w:rPr>
                <w:b/>
              </w:rPr>
            </w:pPr>
            <w:r>
              <w:rPr>
                <w:b/>
                <w:rtl w:val="0"/>
              </w:rPr>
              <w:t xml:space="preserve">Month wise schedule followed by the Department </w:t>
            </w:r>
          </w:p>
        </w:tc>
        <w:tc>
          <w:tcPr>
            <w:tcBorders>
              <w:top w:val="single" w:color="000000" w:sz="4" w:space="0"/>
              <w:left w:val="single" w:color="000000" w:sz="4" w:space="0"/>
              <w:bottom w:val="single" w:color="000000" w:sz="4" w:space="0"/>
              <w:right w:val="single" w:color="000000" w:sz="4" w:space="0"/>
            </w:tcBorders>
            <w:shd w:val="clear" w:color="auto" w:fill="FFFFFF"/>
          </w:tcPr>
          <w:p>
            <w:pPr>
              <w:jc w:val="center"/>
            </w:pPr>
            <w:r>
              <w:rPr>
                <w:b/>
                <w:rtl w:val="0"/>
              </w:rPr>
              <w:t>Main Features</w:t>
            </w:r>
          </w:p>
        </w:tc>
      </w:tr>
      <w:tr>
        <w:tblPrEx>
          <w:tblCellMar>
            <w:top w:w="0" w:type="dxa"/>
            <w:left w:w="2" w:type="dxa"/>
            <w:bottom w:w="0" w:type="dxa"/>
            <w:right w:w="0" w:type="dxa"/>
          </w:tblCellMar>
        </w:tblPrEx>
        <w:tc>
          <w:tcPr>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b/>
              </w:rPr>
            </w:pPr>
          </w:p>
          <w:p>
            <w:pPr>
              <w:widowControl/>
            </w:pPr>
            <w:r>
              <w:rPr>
                <w:b/>
                <w:sz w:val="22"/>
                <w:szCs w:val="22"/>
                <w:rtl w:val="0"/>
              </w:rPr>
              <w:t>Generic Elective- II</w:t>
            </w:r>
          </w:p>
          <w:p>
            <w:pPr>
              <w:widowControl/>
            </w:pPr>
            <w:r>
              <w:rPr>
                <w:b/>
                <w:sz w:val="22"/>
                <w:szCs w:val="22"/>
                <w:rtl w:val="0"/>
              </w:rPr>
              <w:t>Delhi Through The Ages (CBCS) - Semester 6.</w:t>
            </w:r>
          </w:p>
          <w:p>
            <w:pPr>
              <w:rPr>
                <w:b/>
              </w:rPr>
            </w:pPr>
          </w:p>
        </w:tc>
      </w:tr>
      <w:tr>
        <w:tblPrEx>
          <w:tblCellMar>
            <w:top w:w="0" w:type="dxa"/>
            <w:left w:w="2" w:type="dxa"/>
            <w:bottom w:w="0" w:type="dxa"/>
            <w:right w:w="0" w:type="dxa"/>
          </w:tblCellMar>
        </w:tblPrEx>
        <w:trPr>
          <w:trHeight w:val="663" w:hRule="atLeast"/>
        </w:trPr>
        <w:tc>
          <w:tcPr>
            <w:tcBorders>
              <w:top w:val="single" w:color="000000" w:sz="4" w:space="0"/>
              <w:left w:val="single" w:color="000000" w:sz="4" w:space="0"/>
              <w:bottom w:val="single" w:color="000000" w:sz="4" w:space="0"/>
            </w:tcBorders>
            <w:shd w:val="clear" w:color="auto" w:fill="FFFFFF"/>
          </w:tcPr>
          <w:p>
            <w:pPr>
              <w:ind w:left="1440" w:firstLine="0"/>
            </w:pPr>
          </w:p>
          <w:p>
            <w:pPr>
              <w:numPr>
                <w:ilvl w:val="0"/>
                <w:numId w:val="1"/>
              </w:numPr>
              <w:ind w:left="1440" w:hanging="360"/>
              <w:rPr>
                <w:u w:val="none"/>
              </w:rPr>
            </w:pPr>
            <w:r>
              <w:rPr>
                <w:rtl w:val="0"/>
              </w:rPr>
              <w:t>The environmental setting and transition to the historical period.</w:t>
            </w:r>
          </w:p>
          <w:p>
            <w:pPr>
              <w:ind w:left="1440" w:firstLine="0"/>
            </w:pPr>
          </w:p>
        </w:tc>
        <w:tc>
          <w:tcPr>
            <w:tcBorders>
              <w:top w:val="single" w:color="000000" w:sz="4" w:space="0"/>
              <w:left w:val="single" w:color="000000" w:sz="4" w:space="0"/>
              <w:bottom w:val="single" w:color="000000" w:sz="4" w:space="0"/>
            </w:tcBorders>
            <w:shd w:val="clear" w:color="auto" w:fill="FFFFFF"/>
          </w:tcPr>
          <w:p>
            <w:pPr>
              <w:jc w:val="center"/>
            </w:pPr>
          </w:p>
          <w:p>
            <w:pPr>
              <w:jc w:val="center"/>
            </w:pPr>
            <w:r>
              <w:rPr>
                <w:rtl w:val="0"/>
              </w:rPr>
              <w:t>16</w:t>
            </w:r>
          </w:p>
          <w:p>
            <w:pPr>
              <w:jc w:val="center"/>
            </w:pPr>
            <w:r>
              <w:rPr>
                <w:rtl w:val="0"/>
              </w:rPr>
              <w:t>lectures</w:t>
            </w:r>
          </w:p>
        </w:tc>
        <w:tc>
          <w:tcPr>
            <w:tcBorders>
              <w:top w:val="single" w:color="000000" w:sz="4" w:space="0"/>
              <w:left w:val="single" w:color="000000" w:sz="4" w:space="0"/>
              <w:bottom w:val="single" w:color="000000" w:sz="4" w:space="0"/>
            </w:tcBorders>
            <w:shd w:val="clear" w:color="auto" w:fill="FFFFFF"/>
          </w:tcPr>
          <w:p>
            <w:pPr>
              <w:jc w:val="center"/>
            </w:pPr>
          </w:p>
          <w:p>
            <w:pPr>
              <w:jc w:val="center"/>
            </w:pPr>
            <w:r>
              <w:rPr>
                <w:rtl w:val="0"/>
              </w:rPr>
              <w:t xml:space="preserve">2 Jan to </w:t>
            </w:r>
          </w:p>
          <w:p>
            <w:pPr>
              <w:jc w:val="center"/>
            </w:pPr>
            <w:r>
              <w:rPr>
                <w:rtl w:val="0"/>
              </w:rPr>
              <w:t>30 Jan 2021</w:t>
            </w:r>
          </w:p>
        </w:tc>
        <w:tc>
          <w:tcPr>
            <w:tcBorders>
              <w:top w:val="single" w:color="000000" w:sz="4" w:space="0"/>
              <w:left w:val="single" w:color="000000" w:sz="4" w:space="0"/>
              <w:bottom w:val="single" w:color="000000" w:sz="4" w:space="0"/>
              <w:right w:val="single" w:color="000000" w:sz="4" w:space="0"/>
            </w:tcBorders>
            <w:shd w:val="clear" w:color="auto" w:fill="FFFFFF"/>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pPr>
          </w:p>
          <w:p>
            <w:pPr>
              <w:keepNext w:val="0"/>
              <w:keepLines w:val="0"/>
              <w:widowControl w:val="0"/>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tl w:val="0"/>
              </w:rPr>
              <w:t>Prehistoric and protohistoric sites, Purana</w:t>
            </w:r>
            <w:r>
              <w:rPr>
                <w:rFonts w:hint="default"/>
                <w:rtl w:val="0"/>
                <w:lang w:val="en-IN"/>
              </w:rPr>
              <w:t xml:space="preserve"> </w:t>
            </w:r>
            <w:r>
              <w:rPr>
                <w:rtl w:val="0"/>
              </w:rPr>
              <w:t xml:space="preserve">Qila, </w:t>
            </w:r>
            <w:r>
              <w:rPr>
                <w:rFonts w:hint="default"/>
                <w:rtl w:val="0"/>
                <w:lang w:val="en-IN"/>
              </w:rPr>
              <w:t>A</w:t>
            </w:r>
            <w:r>
              <w:rPr>
                <w:rtl w:val="0"/>
              </w:rPr>
              <w:t>rchaeology and legend.</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pPr>
          </w:p>
          <w:p>
            <w:pPr>
              <w:keepNext w:val="0"/>
              <w:keepLines w:val="0"/>
              <w:widowControl w:val="0"/>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u w:val="none"/>
              </w:rPr>
            </w:pPr>
            <w:r>
              <w:rPr>
                <w:rtl w:val="0"/>
              </w:rPr>
              <w:t>Ashokan edicts and the Mehrauli iron pillar and Anangpur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pPr>
          </w:p>
        </w:tc>
      </w:tr>
      <w:tr>
        <w:tblPrEx>
          <w:tblCellMar>
            <w:top w:w="0" w:type="dxa"/>
            <w:left w:w="2" w:type="dxa"/>
            <w:bottom w:w="0" w:type="dxa"/>
            <w:right w:w="0" w:type="dxa"/>
          </w:tblCellMar>
        </w:tblPrEx>
        <w:trPr>
          <w:trHeight w:val="1048" w:hRule="atLeast"/>
        </w:trPr>
        <w:tc>
          <w:tcPr>
            <w:tcBorders>
              <w:top w:val="single" w:color="000000" w:sz="4" w:space="0"/>
              <w:left w:val="single" w:color="000000" w:sz="4" w:space="0"/>
              <w:bottom w:val="single" w:color="000000" w:sz="4" w:space="0"/>
            </w:tcBorders>
            <w:shd w:val="clear" w:color="auto" w:fill="FFFFFF"/>
            <w:vAlign w:val="center"/>
          </w:tcPr>
          <w:p>
            <w:pPr>
              <w:numPr>
                <w:ilvl w:val="0"/>
                <w:numId w:val="1"/>
              </w:numPr>
              <w:ind w:left="1440" w:hanging="360"/>
              <w:jc w:val="left"/>
            </w:pPr>
            <w:r>
              <w:rPr>
                <w:rtl w:val="0"/>
              </w:rPr>
              <w:t>Settlements</w:t>
            </w:r>
          </w:p>
          <w:p>
            <w:pPr>
              <w:ind w:left="1440" w:firstLine="0"/>
              <w:jc w:val="left"/>
            </w:pPr>
            <w:r>
              <w:rPr>
                <w:rtl w:val="0"/>
              </w:rPr>
              <w:t>between the</w:t>
            </w:r>
          </w:p>
          <w:p>
            <w:pPr>
              <w:ind w:left="1440" w:firstLine="0"/>
              <w:jc w:val="left"/>
            </w:pPr>
            <w:r>
              <w:rPr>
                <w:rtl w:val="0"/>
              </w:rPr>
              <w:t>11th and 16th</w:t>
            </w:r>
          </w:p>
          <w:p>
            <w:pPr>
              <w:ind w:left="1440" w:firstLine="0"/>
              <w:jc w:val="left"/>
            </w:pPr>
            <w:r>
              <w:rPr>
                <w:rtl w:val="0"/>
              </w:rPr>
              <w:t>century and</w:t>
            </w:r>
          </w:p>
          <w:p>
            <w:pPr>
              <w:ind w:left="1440" w:firstLine="0"/>
              <w:jc w:val="left"/>
            </w:pPr>
            <w:r>
              <w:rPr>
                <w:rtl w:val="0"/>
              </w:rPr>
              <w:t>The tomb, the</w:t>
            </w:r>
          </w:p>
          <w:p>
            <w:pPr>
              <w:ind w:left="1440" w:firstLine="0"/>
              <w:jc w:val="left"/>
            </w:pPr>
            <w:r>
              <w:rPr>
                <w:rtl w:val="0"/>
              </w:rPr>
              <w:t>garden and the river.</w:t>
            </w:r>
          </w:p>
          <w:p>
            <w:pPr>
              <w:ind w:left="1440" w:firstLine="0"/>
              <w:jc w:val="left"/>
            </w:pPr>
          </w:p>
          <w:p>
            <w:pPr>
              <w:ind w:left="1440" w:firstLine="0"/>
              <w:jc w:val="left"/>
            </w:pPr>
          </w:p>
        </w:tc>
        <w:tc>
          <w:tcPr>
            <w:tcBorders>
              <w:top w:val="single" w:color="000000" w:sz="4" w:space="0"/>
              <w:left w:val="single" w:color="000000" w:sz="4" w:space="0"/>
              <w:bottom w:val="single" w:color="000000" w:sz="4" w:space="0"/>
            </w:tcBorders>
            <w:shd w:val="clear" w:color="auto" w:fill="FFFFFF"/>
          </w:tcPr>
          <w:p>
            <w:pPr>
              <w:jc w:val="center"/>
            </w:pPr>
          </w:p>
          <w:p>
            <w:pPr>
              <w:jc w:val="center"/>
            </w:pPr>
          </w:p>
          <w:p>
            <w:pPr>
              <w:jc w:val="center"/>
            </w:pPr>
          </w:p>
          <w:p>
            <w:pPr>
              <w:jc w:val="center"/>
            </w:pPr>
            <w:r>
              <w:rPr>
                <w:rtl w:val="0"/>
              </w:rPr>
              <w:t>14</w:t>
            </w:r>
          </w:p>
          <w:p>
            <w:pPr>
              <w:jc w:val="center"/>
            </w:pPr>
            <w:r>
              <w:rPr>
                <w:rtl w:val="0"/>
              </w:rPr>
              <w:t>lectures</w:t>
            </w:r>
          </w:p>
        </w:tc>
        <w:tc>
          <w:tcPr>
            <w:tcBorders>
              <w:top w:val="single" w:color="000000" w:sz="4" w:space="0"/>
              <w:left w:val="single" w:color="000000" w:sz="4" w:space="0"/>
              <w:bottom w:val="single" w:color="000000" w:sz="4" w:space="0"/>
            </w:tcBorders>
            <w:shd w:val="clear" w:color="auto" w:fill="FFFFFF"/>
          </w:tcPr>
          <w:p>
            <w:pPr>
              <w:jc w:val="center"/>
            </w:pPr>
          </w:p>
          <w:p>
            <w:pPr>
              <w:jc w:val="center"/>
            </w:pPr>
          </w:p>
          <w:p>
            <w:pPr>
              <w:jc w:val="center"/>
            </w:pPr>
          </w:p>
          <w:p>
            <w:pPr>
              <w:jc w:val="center"/>
            </w:pPr>
            <w:r>
              <w:rPr>
                <w:rtl w:val="0"/>
              </w:rPr>
              <w:t>1 Feb to</w:t>
            </w:r>
          </w:p>
          <w:p>
            <w:pPr>
              <w:jc w:val="center"/>
            </w:pPr>
            <w:r>
              <w:rPr>
                <w:rtl w:val="0"/>
              </w:rPr>
              <w:t>27 Feb 2021</w:t>
            </w:r>
          </w:p>
        </w:tc>
        <w:tc>
          <w:tcPr>
            <w:tcBorders>
              <w:top w:val="single" w:color="000000" w:sz="4" w:space="0"/>
              <w:left w:val="single" w:color="000000" w:sz="4" w:space="0"/>
              <w:bottom w:val="single" w:color="000000" w:sz="4" w:space="0"/>
              <w:right w:val="single" w:color="000000" w:sz="4" w:space="0"/>
            </w:tcBorders>
            <w:shd w:val="clear" w:color="auto" w:fill="FFFFFF"/>
          </w:tcPr>
          <w:p>
            <w:pPr>
              <w:widowControl/>
              <w:ind w:left="720" w:firstLine="0"/>
              <w:rPr>
                <w:sz w:val="22"/>
                <w:szCs w:val="22"/>
              </w:rPr>
            </w:pPr>
          </w:p>
          <w:p>
            <w:pPr>
              <w:widowControl/>
              <w:numPr>
                <w:ilvl w:val="0"/>
                <w:numId w:val="3"/>
              </w:numPr>
              <w:ind w:left="720" w:hanging="360"/>
              <w:rPr>
                <w:sz w:val="22"/>
                <w:szCs w:val="22"/>
                <w:u w:val="none"/>
              </w:rPr>
            </w:pPr>
            <w:r>
              <w:rPr>
                <w:sz w:val="22"/>
                <w:szCs w:val="22"/>
                <w:rtl w:val="0"/>
              </w:rPr>
              <w:t>11-16th century settlements in Delhi with specific focus on any two: Lal Kot and Delhi Kuhna.</w:t>
            </w:r>
          </w:p>
          <w:p>
            <w:pPr>
              <w:widowControl/>
              <w:ind w:left="720" w:firstLine="0"/>
              <w:rPr>
                <w:sz w:val="22"/>
                <w:szCs w:val="22"/>
              </w:rPr>
            </w:pPr>
          </w:p>
          <w:p>
            <w:pPr>
              <w:widowControl/>
              <w:numPr>
                <w:ilvl w:val="0"/>
                <w:numId w:val="3"/>
              </w:numPr>
              <w:ind w:left="720" w:hanging="360"/>
              <w:rPr>
                <w:sz w:val="22"/>
                <w:szCs w:val="22"/>
                <w:u w:val="none"/>
              </w:rPr>
            </w:pPr>
            <w:r>
              <w:rPr>
                <w:sz w:val="22"/>
                <w:szCs w:val="22"/>
                <w:rtl w:val="0"/>
              </w:rPr>
              <w:t>Humayun’s tomb, Nizamuddin, Shahjahanabad.</w:t>
            </w:r>
          </w:p>
          <w:p>
            <w:pPr>
              <w:widowControl/>
              <w:ind w:left="720" w:firstLine="0"/>
              <w:rPr>
                <w:sz w:val="22"/>
                <w:szCs w:val="22"/>
              </w:rPr>
            </w:pPr>
            <w:r>
              <w:rPr>
                <w:sz w:val="22"/>
                <w:szCs w:val="22"/>
                <w:rtl w:val="0"/>
              </w:rPr>
              <w:t>“The Mughal Waterfront Garden.” In Mughal Art and Imperial Ideology by Ebba Koch.</w:t>
            </w:r>
          </w:p>
          <w:p>
            <w:pPr>
              <w:widowControl/>
              <w:ind w:left="720" w:firstLine="0"/>
              <w:rPr>
                <w:sz w:val="22"/>
                <w:szCs w:val="22"/>
              </w:rPr>
            </w:pPr>
          </w:p>
          <w:p>
            <w:pPr>
              <w:widowControl/>
              <w:ind w:left="720" w:firstLine="0"/>
              <w:rPr>
                <w:sz w:val="22"/>
                <w:szCs w:val="22"/>
              </w:rPr>
            </w:pPr>
          </w:p>
        </w:tc>
      </w:tr>
      <w:tr>
        <w:tblPrEx>
          <w:tblCellMar>
            <w:top w:w="0" w:type="dxa"/>
            <w:left w:w="2" w:type="dxa"/>
            <w:bottom w:w="0" w:type="dxa"/>
            <w:right w:w="0" w:type="dxa"/>
          </w:tblCellMar>
        </w:tblPrEx>
        <w:trPr>
          <w:trHeight w:val="1041" w:hRule="atLeast"/>
        </w:trPr>
        <w:tc>
          <w:tcPr>
            <w:tcBorders>
              <w:top w:val="single" w:color="000000" w:sz="4" w:space="0"/>
              <w:left w:val="single" w:color="000000" w:sz="4" w:space="0"/>
              <w:bottom w:val="single" w:color="000000" w:sz="4" w:space="0"/>
            </w:tcBorders>
            <w:shd w:val="clear" w:color="auto" w:fill="FFFFFF"/>
            <w:vAlign w:val="center"/>
          </w:tcPr>
          <w:p>
            <w:pPr>
              <w:numPr>
                <w:ilvl w:val="0"/>
                <w:numId w:val="1"/>
              </w:numPr>
              <w:ind w:left="1440" w:hanging="360"/>
              <w:rPr>
                <w:u w:val="none"/>
              </w:rPr>
            </w:pPr>
            <w:r>
              <w:rPr>
                <w:rtl w:val="0"/>
              </w:rPr>
              <w:t xml:space="preserve">Shahjahanabad and 1857 in Delhi </w:t>
            </w:r>
          </w:p>
        </w:tc>
        <w:tc>
          <w:tcPr>
            <w:tcBorders>
              <w:top w:val="single" w:color="000000" w:sz="4" w:space="0"/>
              <w:left w:val="single" w:color="000000" w:sz="4" w:space="0"/>
              <w:bottom w:val="single" w:color="000000" w:sz="4" w:space="0"/>
            </w:tcBorders>
            <w:shd w:val="clear" w:color="auto" w:fill="FFFFFF"/>
          </w:tcPr>
          <w:p>
            <w:pPr>
              <w:jc w:val="center"/>
            </w:pPr>
          </w:p>
          <w:p>
            <w:pPr>
              <w:jc w:val="center"/>
            </w:pPr>
          </w:p>
          <w:p>
            <w:pPr>
              <w:jc w:val="center"/>
            </w:pPr>
          </w:p>
          <w:p>
            <w:pPr>
              <w:jc w:val="center"/>
            </w:pPr>
          </w:p>
          <w:p>
            <w:pPr>
              <w:jc w:val="center"/>
            </w:pPr>
          </w:p>
          <w:p>
            <w:pPr>
              <w:jc w:val="center"/>
            </w:pPr>
            <w:r>
              <w:rPr>
                <w:rtl w:val="0"/>
              </w:rPr>
              <w:t>18</w:t>
            </w:r>
          </w:p>
          <w:p>
            <w:pPr>
              <w:jc w:val="center"/>
            </w:pPr>
            <w:r>
              <w:rPr>
                <w:rtl w:val="0"/>
              </w:rPr>
              <w:t>lectures</w:t>
            </w:r>
          </w:p>
        </w:tc>
        <w:tc>
          <w:tcPr>
            <w:tcBorders>
              <w:top w:val="single" w:color="000000" w:sz="4" w:space="0"/>
              <w:left w:val="single" w:color="000000" w:sz="4" w:space="0"/>
              <w:bottom w:val="single" w:color="000000" w:sz="4" w:space="0"/>
            </w:tcBorders>
            <w:shd w:val="clear" w:color="auto" w:fill="FFFFFF"/>
          </w:tcPr>
          <w:p>
            <w:pPr>
              <w:jc w:val="center"/>
            </w:pPr>
          </w:p>
          <w:p>
            <w:pPr>
              <w:jc w:val="center"/>
            </w:pPr>
          </w:p>
          <w:p>
            <w:pPr>
              <w:jc w:val="center"/>
            </w:pPr>
          </w:p>
          <w:p>
            <w:pPr>
              <w:jc w:val="center"/>
            </w:pPr>
          </w:p>
          <w:p>
            <w:pPr>
              <w:jc w:val="center"/>
            </w:pPr>
          </w:p>
          <w:p>
            <w:pPr>
              <w:jc w:val="center"/>
            </w:pPr>
            <w:r>
              <w:rPr>
                <w:rtl w:val="0"/>
              </w:rPr>
              <w:t>1 March to</w:t>
            </w:r>
          </w:p>
          <w:p>
            <w:pPr>
              <w:jc w:val="center"/>
            </w:pPr>
            <w:r>
              <w:rPr>
                <w:rtl w:val="0"/>
              </w:rPr>
              <w:t>31 March 2021</w:t>
            </w:r>
          </w:p>
        </w:tc>
        <w:tc>
          <w:tcPr>
            <w:tcBorders>
              <w:top w:val="single" w:color="000000" w:sz="4" w:space="0"/>
              <w:left w:val="single" w:color="000000" w:sz="4" w:space="0"/>
              <w:bottom w:val="single" w:color="000000" w:sz="4" w:space="0"/>
              <w:right w:val="single" w:color="000000" w:sz="4" w:space="0"/>
            </w:tcBorders>
            <w:shd w:val="clear" w:color="auto" w:fill="FFFFFF"/>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sz w:val="22"/>
                <w:szCs w:val="22"/>
              </w:rPr>
            </w:pPr>
          </w:p>
          <w:p>
            <w:pPr>
              <w:keepNext w:val="0"/>
              <w:keepLines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sz w:val="22"/>
                <w:szCs w:val="22"/>
                <w:rtl w:val="0"/>
              </w:rPr>
              <w:t>The politics, literary culture and the role of Delhi College in 18th and early 19th Century Shahjahanabad and the Company and the Mughal Court.</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sz w:val="22"/>
                <w:szCs w:val="22"/>
              </w:rPr>
            </w:pPr>
          </w:p>
          <w:p>
            <w:pPr>
              <w:keepNext w:val="0"/>
              <w:keepLines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sz w:val="22"/>
                <w:szCs w:val="22"/>
                <w:u w:val="none"/>
              </w:rPr>
            </w:pPr>
            <w:r>
              <w:rPr>
                <w:sz w:val="22"/>
                <w:szCs w:val="22"/>
                <w:rtl w:val="0"/>
              </w:rPr>
              <w:t>The revolt and the process of British reconquest of Delhi in 1857. It would examine political developments and their legacy during 1857 and how the rebellion in Delhi influenced the city.</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sz w:val="22"/>
                <w:szCs w:val="22"/>
              </w:rPr>
            </w:pPr>
          </w:p>
        </w:tc>
      </w:tr>
      <w:tr>
        <w:tblPrEx>
          <w:tblCellMar>
            <w:top w:w="0" w:type="dxa"/>
            <w:left w:w="2" w:type="dxa"/>
            <w:bottom w:w="0" w:type="dxa"/>
            <w:right w:w="0" w:type="dxa"/>
          </w:tblCellMar>
        </w:tblPrEx>
        <w:trPr>
          <w:trHeight w:val="1041" w:hRule="atLeast"/>
        </w:trPr>
        <w:tc>
          <w:tcPr>
            <w:tcBorders>
              <w:top w:val="single" w:color="000000" w:sz="4" w:space="0"/>
              <w:left w:val="single" w:color="000000" w:sz="4" w:space="0"/>
              <w:bottom w:val="single" w:color="000000" w:sz="4" w:space="0"/>
            </w:tcBorders>
            <w:shd w:val="clear" w:color="auto" w:fill="FFFFFF"/>
            <w:vAlign w:val="center"/>
          </w:tcPr>
          <w:p>
            <w:pPr>
              <w:numPr>
                <w:ilvl w:val="0"/>
                <w:numId w:val="1"/>
              </w:numPr>
              <w:ind w:left="1440" w:hanging="360"/>
              <w:rPr>
                <w:u w:val="none"/>
              </w:rPr>
            </w:pPr>
            <w:r>
              <w:rPr>
                <w:rtl w:val="0"/>
              </w:rPr>
              <w:t xml:space="preserve">From the 1877 Durbar to the New Imperial Capital and 1947 onwards. </w:t>
            </w:r>
          </w:p>
        </w:tc>
        <w:tc>
          <w:tcPr>
            <w:tcBorders>
              <w:top w:val="single" w:color="000000" w:sz="4" w:space="0"/>
              <w:left w:val="single" w:color="000000" w:sz="4" w:space="0"/>
              <w:bottom w:val="single" w:color="000000" w:sz="4" w:space="0"/>
            </w:tcBorders>
            <w:shd w:val="clear" w:color="auto" w:fill="FFFFFF"/>
          </w:tcPr>
          <w:p>
            <w:pPr>
              <w:jc w:val="center"/>
            </w:pPr>
          </w:p>
          <w:p>
            <w:pPr>
              <w:jc w:val="center"/>
            </w:pPr>
          </w:p>
          <w:p>
            <w:pPr>
              <w:jc w:val="center"/>
            </w:pPr>
          </w:p>
          <w:p>
            <w:pPr>
              <w:jc w:val="center"/>
            </w:pPr>
            <w:r>
              <w:rPr>
                <w:rtl w:val="0"/>
              </w:rPr>
              <w:t>13</w:t>
            </w:r>
          </w:p>
          <w:p>
            <w:pPr>
              <w:jc w:val="center"/>
            </w:pPr>
            <w:r>
              <w:rPr>
                <w:rtl w:val="0"/>
              </w:rPr>
              <w:t>lectures</w:t>
            </w:r>
          </w:p>
        </w:tc>
        <w:tc>
          <w:tcPr>
            <w:tcBorders>
              <w:top w:val="single" w:color="000000" w:sz="4" w:space="0"/>
              <w:left w:val="single" w:color="000000" w:sz="4" w:space="0"/>
              <w:bottom w:val="single" w:color="000000" w:sz="4" w:space="0"/>
            </w:tcBorders>
            <w:shd w:val="clear" w:color="auto" w:fill="FFFFFF"/>
          </w:tcPr>
          <w:p>
            <w:pPr>
              <w:jc w:val="center"/>
            </w:pPr>
          </w:p>
          <w:p>
            <w:pPr>
              <w:jc w:val="center"/>
            </w:pPr>
          </w:p>
          <w:p>
            <w:pPr>
              <w:jc w:val="center"/>
            </w:pPr>
          </w:p>
          <w:p>
            <w:pPr>
              <w:jc w:val="center"/>
            </w:pPr>
            <w:r>
              <w:rPr>
                <w:rtl w:val="0"/>
              </w:rPr>
              <w:t>1 April to</w:t>
            </w:r>
          </w:p>
          <w:p>
            <w:pPr>
              <w:jc w:val="center"/>
            </w:pPr>
            <w:r>
              <w:rPr>
                <w:rtl w:val="0"/>
              </w:rPr>
              <w:t>28 April 2021</w:t>
            </w:r>
          </w:p>
        </w:tc>
        <w:tc>
          <w:tcPr>
            <w:tcBorders>
              <w:top w:val="single" w:color="000000" w:sz="4" w:space="0"/>
              <w:left w:val="single" w:color="000000" w:sz="4" w:space="0"/>
              <w:bottom w:val="single" w:color="000000" w:sz="4" w:space="0"/>
              <w:right w:val="single" w:color="000000" w:sz="4" w:space="0"/>
            </w:tcBorders>
            <w:shd w:val="clear" w:color="auto" w:fill="FFFFFF"/>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sz w:val="22"/>
                <w:szCs w:val="22"/>
              </w:rPr>
            </w:pPr>
          </w:p>
          <w:p>
            <w:pPr>
              <w:keepNext w:val="0"/>
              <w:keepLines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i w:val="0"/>
                <w:smallCaps w:val="0"/>
                <w:strike w:val="0"/>
                <w:color w:val="000000"/>
                <w:sz w:val="22"/>
                <w:szCs w:val="22"/>
                <w:shd w:val="clear" w:fill="auto"/>
                <w:vertAlign w:val="baseline"/>
              </w:rPr>
            </w:pPr>
            <w:r>
              <w:rPr>
                <w:sz w:val="22"/>
                <w:szCs w:val="22"/>
                <w:rtl w:val="0"/>
              </w:rPr>
              <w:t>The motivation, planning and the ideological impact that the British wanted to make through the making of the new Imperial Capital in Delhi.</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sz w:val="22"/>
                <w:szCs w:val="22"/>
              </w:rPr>
            </w:pPr>
          </w:p>
          <w:p>
            <w:pPr>
              <w:keepNext w:val="0"/>
              <w:keepLines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sz w:val="22"/>
                <w:szCs w:val="22"/>
                <w:u w:val="none"/>
              </w:rPr>
            </w:pPr>
            <w:r>
              <w:rPr>
                <w:sz w:val="22"/>
                <w:szCs w:val="22"/>
                <w:rtl w:val="0"/>
              </w:rPr>
              <w:t>Delhi during and post-Partition.It examines the physical and social transformation of Delhi from the colonial to the contemporary times.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sz w:val="22"/>
                <w:szCs w:val="22"/>
              </w:rPr>
            </w:pPr>
          </w:p>
        </w:tc>
      </w:tr>
    </w:tbl>
    <w:p>
      <w:pPr>
        <w:jc w:val="center"/>
        <w:rPr>
          <w:rFonts w:hint="default"/>
          <w:rtl w:val="0"/>
          <w:lang w:val="en-IN"/>
        </w:rPr>
      </w:pPr>
      <w:r>
        <w:rPr>
          <w:rFonts w:hint="default"/>
          <w:rtl w:val="0"/>
          <w:lang w:val="en-IN"/>
        </w:rPr>
        <w:t>(January-April)</w:t>
      </w:r>
    </w:p>
    <w:p>
      <w:pPr>
        <w:jc w:val="center"/>
        <w:rPr>
          <w:rtl w:val="0"/>
        </w:rPr>
      </w:pPr>
      <w:r>
        <w:rPr>
          <w:rtl w:val="0"/>
        </w:rPr>
        <w:t xml:space="preserve"> (January – April 2021)</w:t>
      </w:r>
    </w:p>
    <w:p>
      <w:pPr>
        <w:jc w:val="center"/>
        <w:rPr>
          <w:b/>
          <w:sz w:val="30"/>
          <w:szCs w:val="30"/>
          <w:u w:val="single"/>
          <w:rtl w:val="0"/>
        </w:rPr>
      </w:pPr>
    </w:p>
    <w:p>
      <w:pPr>
        <w:jc w:val="center"/>
        <w:rPr>
          <w:b/>
          <w:sz w:val="30"/>
          <w:szCs w:val="30"/>
          <w:u w:val="single"/>
          <w:rtl w:val="0"/>
        </w:rPr>
      </w:pPr>
    </w:p>
    <w:p>
      <w:pPr>
        <w:jc w:val="center"/>
        <w:rPr>
          <w:u w:val="single"/>
        </w:rPr>
      </w:pPr>
    </w:p>
    <w:p>
      <w:pPr>
        <w:jc w:val="center"/>
      </w:pPr>
      <w:r>
        <w:rPr>
          <w:rtl w:val="0"/>
        </w:rPr>
        <w:t>CURRICULUM PLAN 2020-21(TENTATIVE)</w:t>
      </w:r>
    </w:p>
    <w:p>
      <w:pPr>
        <w:jc w:val="center"/>
      </w:pPr>
      <w:r>
        <w:rPr>
          <w:rtl w:val="0"/>
        </w:rPr>
        <w:t xml:space="preserve"> (January – April 2021)</w:t>
      </w:r>
    </w:p>
    <w:p>
      <w:pPr>
        <w:jc w:val="center"/>
        <w:rPr>
          <w:b/>
          <w:u w:val="single"/>
        </w:rPr>
      </w:pPr>
    </w:p>
    <w:p/>
    <w:p>
      <w:pPr>
        <w:jc w:val="center"/>
        <w:rPr>
          <w:rFonts w:hint="default"/>
          <w:lang w:val="en-IN"/>
        </w:rPr>
      </w:pPr>
    </w:p>
    <w:bookmarkEnd w:id="0"/>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0248C179"/>
    <w:multiLevelType w:val="multilevel"/>
    <w:tmpl w:val="0248C179"/>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
    <w:nsid w:val="25B654F3"/>
    <w:multiLevelType w:val="multilevel"/>
    <w:tmpl w:val="25B654F3"/>
    <w:lvl w:ilvl="0" w:tentative="0">
      <w:start w:val="1"/>
      <w:numFmt w:val="decimal"/>
      <w:lvlText w:val="%1."/>
      <w:lvlJc w:val="left"/>
      <w:pPr>
        <w:ind w:left="1440" w:hanging="360"/>
      </w:pPr>
      <w:rPr>
        <w:u w:val="none"/>
      </w:rPr>
    </w:lvl>
    <w:lvl w:ilvl="1" w:tentative="0">
      <w:start w:val="1"/>
      <w:numFmt w:val="lowerLetter"/>
      <w:lvlText w:val="%2."/>
      <w:lvlJc w:val="left"/>
      <w:pPr>
        <w:ind w:left="2160" w:hanging="360"/>
      </w:pPr>
      <w:rPr>
        <w:u w:val="none"/>
      </w:rPr>
    </w:lvl>
    <w:lvl w:ilvl="2" w:tentative="0">
      <w:start w:val="1"/>
      <w:numFmt w:val="lowerRoman"/>
      <w:lvlText w:val="%3."/>
      <w:lvlJc w:val="right"/>
      <w:pPr>
        <w:ind w:left="2880" w:hanging="360"/>
      </w:pPr>
      <w:rPr>
        <w:u w:val="none"/>
      </w:rPr>
    </w:lvl>
    <w:lvl w:ilvl="3" w:tentative="0">
      <w:start w:val="1"/>
      <w:numFmt w:val="decimal"/>
      <w:lvlText w:val="%4."/>
      <w:lvlJc w:val="left"/>
      <w:pPr>
        <w:ind w:left="3600" w:hanging="360"/>
      </w:pPr>
      <w:rPr>
        <w:u w:val="none"/>
      </w:rPr>
    </w:lvl>
    <w:lvl w:ilvl="4" w:tentative="0">
      <w:start w:val="1"/>
      <w:numFmt w:val="lowerLetter"/>
      <w:lvlText w:val="%5."/>
      <w:lvlJc w:val="left"/>
      <w:pPr>
        <w:ind w:left="4320" w:hanging="360"/>
      </w:pPr>
      <w:rPr>
        <w:u w:val="none"/>
      </w:rPr>
    </w:lvl>
    <w:lvl w:ilvl="5" w:tentative="0">
      <w:start w:val="1"/>
      <w:numFmt w:val="lowerRoman"/>
      <w:lvlText w:val="%6."/>
      <w:lvlJc w:val="right"/>
      <w:pPr>
        <w:ind w:left="5040" w:hanging="360"/>
      </w:pPr>
      <w:rPr>
        <w:u w:val="none"/>
      </w:rPr>
    </w:lvl>
    <w:lvl w:ilvl="6" w:tentative="0">
      <w:start w:val="1"/>
      <w:numFmt w:val="decimal"/>
      <w:lvlText w:val="%7."/>
      <w:lvlJc w:val="left"/>
      <w:pPr>
        <w:ind w:left="5760" w:hanging="360"/>
      </w:pPr>
      <w:rPr>
        <w:u w:val="none"/>
      </w:rPr>
    </w:lvl>
    <w:lvl w:ilvl="7" w:tentative="0">
      <w:start w:val="1"/>
      <w:numFmt w:val="lowerLetter"/>
      <w:lvlText w:val="%8."/>
      <w:lvlJc w:val="left"/>
      <w:pPr>
        <w:ind w:left="6480" w:hanging="360"/>
      </w:pPr>
      <w:rPr>
        <w:u w:val="none"/>
      </w:rPr>
    </w:lvl>
    <w:lvl w:ilvl="8" w:tentative="0">
      <w:start w:val="1"/>
      <w:numFmt w:val="lowerRoman"/>
      <w:lvlText w:val="%9."/>
      <w:lvlJc w:val="right"/>
      <w:pPr>
        <w:ind w:left="7200" w:hanging="360"/>
      </w:pPr>
      <w:rPr>
        <w:u w:val="none"/>
      </w:rPr>
    </w:lvl>
  </w:abstractNum>
  <w:abstractNum w:abstractNumId="3">
    <w:nsid w:val="2A8F537B"/>
    <w:multiLevelType w:val="multilevel"/>
    <w:tmpl w:val="2A8F537B"/>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4">
    <w:nsid w:val="72183CF9"/>
    <w:multiLevelType w:val="multilevel"/>
    <w:tmpl w:val="72183CF9"/>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2B0E13"/>
    <w:rsid w:val="472B0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spacing w:before="0" w:after="0" w:line="240" w:lineRule="auto"/>
      <w:jc w:val="left"/>
    </w:pPr>
    <w:rPr>
      <w:rFonts w:ascii="Times New Roman" w:hAnsi="Times New Roman" w:eastAsia="SimSun" w:cs="Mangal"/>
      <w:color w:val="auto"/>
      <w:kern w:val="2"/>
      <w:sz w:val="24"/>
      <w:szCs w:val="24"/>
      <w:lang w:val="en-US" w:eastAsia="zh-CN" w:bidi="hi-IN"/>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customStyle="1" w:styleId="4">
    <w:name w:val="_Style 25"/>
    <w:basedOn w:val="5"/>
    <w:uiPriority w:val="0"/>
    <w:tblPr>
      <w:tblCellMar>
        <w:top w:w="0" w:type="dxa"/>
        <w:left w:w="2" w:type="dxa"/>
        <w:bottom w:w="0" w:type="dxa"/>
        <w:right w:w="0" w:type="dxa"/>
      </w:tblCellMar>
    </w:tblPr>
  </w:style>
  <w:style w:type="table" w:customStyle="1" w:styleId="5">
    <w:name w:val="Table Norm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Office_11.2.0.9967_F1E327BC-269C-435d-A152-05C5408002CA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2021-02-07T11:00:00Z</dcterms:created>
  <dc:creator>aditi</dc:creator>
  <cp:lastModifiedBy>aditi</cp:lastModifiedBy>
  <dcterms:modified xsi:type="dcterms:W3CDTF">2021-02-07T11:13:21Z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1033-11.2.0.9967</vt:lpwstr>
  </property>
</Properties>
</file>