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02E" w:rsidRPr="00F9702E" w:rsidRDefault="00F9702E" w:rsidP="00F9702E">
      <w:pPr>
        <w:jc w:val="center"/>
        <w:rPr>
          <w:rFonts w:ascii="Times New Roman" w:hAnsi="Times New Roman" w:cs="Times New Roman"/>
          <w:b/>
          <w:u w:val="single"/>
        </w:rPr>
      </w:pPr>
      <w:r w:rsidRPr="00F9702E">
        <w:rPr>
          <w:rFonts w:ascii="Times New Roman" w:hAnsi="Times New Roman" w:cs="Times New Roman"/>
          <w:b/>
          <w:u w:val="single"/>
        </w:rPr>
        <w:t>Curriculum Plan</w:t>
      </w:r>
      <w:r w:rsidRPr="00F9702E">
        <w:rPr>
          <w:rFonts w:ascii="Times New Roman" w:hAnsi="Times New Roman" w:cs="Times New Roman"/>
          <w:b/>
        </w:rPr>
        <w:t xml:space="preserve"> (Odd Semester 2025-26)</w:t>
      </w:r>
    </w:p>
    <w:p w:rsidR="00F9702E" w:rsidRPr="00F9702E" w:rsidRDefault="00F9702E" w:rsidP="00F9702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702E">
        <w:rPr>
          <w:rFonts w:ascii="Times New Roman" w:hAnsi="Times New Roman" w:cs="Times New Roman"/>
          <w:b/>
          <w:bCs/>
        </w:rPr>
        <w:t xml:space="preserve">Teacher Name: Dr </w:t>
      </w:r>
      <w:proofErr w:type="spellStart"/>
      <w:r w:rsidRPr="00F9702E">
        <w:rPr>
          <w:rFonts w:ascii="Times New Roman" w:hAnsi="Times New Roman" w:cs="Times New Roman"/>
          <w:b/>
          <w:bCs/>
        </w:rPr>
        <w:t>Rajita</w:t>
      </w:r>
      <w:proofErr w:type="spellEnd"/>
    </w:p>
    <w:p w:rsidR="00F9702E" w:rsidRPr="00F9702E" w:rsidRDefault="00F9702E" w:rsidP="00F9702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702E">
        <w:rPr>
          <w:rFonts w:ascii="Times New Roman" w:hAnsi="Times New Roman" w:cs="Times New Roman"/>
          <w:b/>
          <w:bCs/>
        </w:rPr>
        <w:t xml:space="preserve">Course: </w:t>
      </w:r>
      <w:proofErr w:type="spellStart"/>
      <w:r w:rsidR="000D442F">
        <w:rPr>
          <w:rFonts w:ascii="Times New Roman" w:hAnsi="Times New Roman" w:cs="Times New Roman"/>
          <w:b/>
          <w:bCs/>
        </w:rPr>
        <w:t>BSc</w:t>
      </w:r>
      <w:proofErr w:type="spellEnd"/>
      <w:r w:rsidR="000D442F">
        <w:rPr>
          <w:rFonts w:ascii="Times New Roman" w:hAnsi="Times New Roman" w:cs="Times New Roman"/>
          <w:b/>
          <w:bCs/>
        </w:rPr>
        <w:t xml:space="preserve"> (Life Science), </w:t>
      </w:r>
      <w:r w:rsidRPr="00F9702E">
        <w:rPr>
          <w:rFonts w:ascii="Times New Roman" w:hAnsi="Times New Roman" w:cs="Times New Roman"/>
          <w:b/>
          <w:bCs/>
        </w:rPr>
        <w:t>Semester 5th</w:t>
      </w:r>
    </w:p>
    <w:p w:rsidR="00F9702E" w:rsidRPr="00F9702E" w:rsidRDefault="00F9702E" w:rsidP="00F9702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702E">
        <w:rPr>
          <w:rFonts w:ascii="Times New Roman" w:hAnsi="Times New Roman" w:cs="Times New Roman"/>
          <w:b/>
          <w:bCs/>
        </w:rPr>
        <w:t>Paper Name: Coordination Chemistry and its application in Biological systems</w:t>
      </w:r>
    </w:p>
    <w:p w:rsidR="00F9702E" w:rsidRPr="00F9702E" w:rsidRDefault="00F9702E" w:rsidP="00F9702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4928" w:type="pct"/>
        <w:tblLook w:val="04A0"/>
      </w:tblPr>
      <w:tblGrid>
        <w:gridCol w:w="719"/>
        <w:gridCol w:w="6003"/>
        <w:gridCol w:w="1268"/>
        <w:gridCol w:w="1826"/>
        <w:gridCol w:w="3791"/>
      </w:tblGrid>
      <w:tr w:rsidR="00D91F00" w:rsidRPr="00F9702E" w:rsidTr="00D91F00">
        <w:trPr>
          <w:trHeight w:val="530"/>
        </w:trPr>
        <w:tc>
          <w:tcPr>
            <w:tcW w:w="264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9702E">
              <w:rPr>
                <w:rFonts w:ascii="Times New Roman" w:hAnsi="Times New Roman" w:cs="Times New Roman"/>
                <w:b/>
              </w:rPr>
              <w:t>S.No</w:t>
            </w:r>
            <w:proofErr w:type="spellEnd"/>
            <w:r w:rsidRPr="00F9702E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206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2E">
              <w:rPr>
                <w:rFonts w:ascii="Times New Roman" w:hAnsi="Times New Roman" w:cs="Times New Roman"/>
                <w:b/>
              </w:rPr>
              <w:t>Contents</w:t>
            </w:r>
          </w:p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2E">
              <w:rPr>
                <w:rFonts w:ascii="Times New Roman" w:hAnsi="Times New Roman" w:cs="Times New Roman"/>
                <w:b/>
              </w:rPr>
              <w:t>Allocation of Lectures</w:t>
            </w:r>
          </w:p>
        </w:tc>
        <w:tc>
          <w:tcPr>
            <w:tcW w:w="671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2E">
              <w:rPr>
                <w:rFonts w:ascii="Times New Roman" w:hAnsi="Times New Roman" w:cs="Times New Roman"/>
                <w:b/>
              </w:rPr>
              <w:t>Month</w:t>
            </w:r>
            <w:r w:rsidR="000D442F">
              <w:rPr>
                <w:rFonts w:ascii="Times New Roman" w:hAnsi="Times New Roman" w:cs="Times New Roman"/>
                <w:b/>
              </w:rPr>
              <w:t xml:space="preserve"> </w:t>
            </w:r>
            <w:r w:rsidRPr="00F9702E">
              <w:rPr>
                <w:rFonts w:ascii="Times New Roman" w:hAnsi="Times New Roman" w:cs="Times New Roman"/>
                <w:b/>
              </w:rPr>
              <w:t>wise schedule to be followed</w:t>
            </w:r>
          </w:p>
        </w:tc>
        <w:tc>
          <w:tcPr>
            <w:tcW w:w="1393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02E">
              <w:rPr>
                <w:rFonts w:ascii="Times New Roman" w:hAnsi="Times New Roman" w:cs="Times New Roman"/>
                <w:b/>
              </w:rPr>
              <w:t>Assignments/ Presentations etc</w:t>
            </w:r>
          </w:p>
        </w:tc>
      </w:tr>
      <w:tr w:rsidR="00D91F00" w:rsidRPr="00F9702E" w:rsidTr="00D91F00">
        <w:trPr>
          <w:trHeight w:val="1826"/>
        </w:trPr>
        <w:tc>
          <w:tcPr>
            <w:tcW w:w="264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6" w:type="pct"/>
          </w:tcPr>
          <w:p w:rsidR="00F9702E" w:rsidRPr="00F9702E" w:rsidRDefault="00F9702E" w:rsidP="007D0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  <w:b/>
              </w:rPr>
              <w:t>Unit 1:</w:t>
            </w:r>
            <w:r w:rsidRPr="00F9702E">
              <w:rPr>
                <w:rFonts w:ascii="Times New Roman" w:hAnsi="Times New Roman" w:cs="Times New Roman"/>
              </w:rPr>
              <w:t xml:space="preserve"> </w:t>
            </w:r>
            <w:r w:rsidRPr="00F9702E">
              <w:rPr>
                <w:rFonts w:ascii="Times New Roman" w:hAnsi="Times New Roman" w:cs="Times New Roman"/>
                <w:b/>
              </w:rPr>
              <w:t>Introduction to Coordination Compounds</w:t>
            </w:r>
          </w:p>
          <w:p w:rsidR="00F9702E" w:rsidRPr="00F9702E" w:rsidRDefault="00F9702E" w:rsidP="007D0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 xml:space="preserve">Brief discussion with examples of types of </w:t>
            </w:r>
            <w:proofErr w:type="spellStart"/>
            <w:r w:rsidRPr="00F9702E">
              <w:rPr>
                <w:rFonts w:ascii="Times New Roman" w:hAnsi="Times New Roman" w:cs="Times New Roman"/>
              </w:rPr>
              <w:t>ligands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02E">
              <w:rPr>
                <w:rFonts w:ascii="Times New Roman" w:hAnsi="Times New Roman" w:cs="Times New Roman"/>
              </w:rPr>
              <w:t>denticity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 and concept of </w:t>
            </w:r>
            <w:proofErr w:type="spellStart"/>
            <w:r w:rsidRPr="00F9702E">
              <w:rPr>
                <w:rFonts w:ascii="Times New Roman" w:hAnsi="Times New Roman" w:cs="Times New Roman"/>
              </w:rPr>
              <w:t>chelate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. IUPAC system of nomenclature of coordination compounds (mononuclear and binuclear) involving simple </w:t>
            </w:r>
            <w:proofErr w:type="spellStart"/>
            <w:r w:rsidRPr="00F9702E">
              <w:rPr>
                <w:rFonts w:ascii="Times New Roman" w:hAnsi="Times New Roman" w:cs="Times New Roman"/>
              </w:rPr>
              <w:t>monodentate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F9702E">
              <w:rPr>
                <w:rFonts w:ascii="Times New Roman" w:hAnsi="Times New Roman" w:cs="Times New Roman"/>
              </w:rPr>
              <w:t>bidentate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702E">
              <w:rPr>
                <w:rFonts w:ascii="Times New Roman" w:hAnsi="Times New Roman" w:cs="Times New Roman"/>
              </w:rPr>
              <w:t>ligands</w:t>
            </w:r>
            <w:proofErr w:type="spellEnd"/>
            <w:r w:rsidRPr="00F9702E">
              <w:rPr>
                <w:rFonts w:ascii="Times New Roman" w:hAnsi="Times New Roman" w:cs="Times New Roman"/>
              </w:rPr>
              <w:t>. Structural and stereoisomerism in complexes with coordination numbers 4 and 6.</w:t>
            </w:r>
          </w:p>
        </w:tc>
        <w:tc>
          <w:tcPr>
            <w:tcW w:w="466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6 lectures</w:t>
            </w:r>
          </w:p>
        </w:tc>
        <w:tc>
          <w:tcPr>
            <w:tcW w:w="671" w:type="pct"/>
          </w:tcPr>
          <w:p w:rsidR="00F9702E" w:rsidRPr="00F9702E" w:rsidRDefault="000D442F" w:rsidP="007D0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week of August </w:t>
            </w:r>
            <w:r w:rsidR="00F9702E" w:rsidRPr="00F9702E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vertAlign w:val="superscript"/>
              </w:rPr>
              <w:t>th</w:t>
            </w:r>
            <w:r w:rsidR="00F9702E" w:rsidRPr="00F9702E">
              <w:rPr>
                <w:rFonts w:ascii="Times New Roman" w:hAnsi="Times New Roman" w:cs="Times New Roman"/>
              </w:rPr>
              <w:t xml:space="preserve"> week of  </w:t>
            </w:r>
            <w:r>
              <w:rPr>
                <w:rFonts w:ascii="Times New Roman" w:hAnsi="Times New Roman" w:cs="Times New Roman"/>
              </w:rPr>
              <w:t>August</w:t>
            </w:r>
          </w:p>
        </w:tc>
        <w:tc>
          <w:tcPr>
            <w:tcW w:w="1393" w:type="pct"/>
          </w:tcPr>
          <w:p w:rsidR="00F9702E" w:rsidRPr="00F9702E" w:rsidRDefault="00F9702E" w:rsidP="00D91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Syllabus Discussion</w:t>
            </w:r>
          </w:p>
          <w:p w:rsidR="00F9702E" w:rsidRPr="00F9702E" w:rsidRDefault="00F9702E" w:rsidP="00D91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References Books</w:t>
            </w:r>
          </w:p>
          <w:p w:rsidR="00F9702E" w:rsidRPr="00F9702E" w:rsidRDefault="00F9702E" w:rsidP="00D91F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Problem Solving</w:t>
            </w:r>
          </w:p>
          <w:p w:rsidR="00F9702E" w:rsidRPr="00F9702E" w:rsidRDefault="00F9702E" w:rsidP="007D00BF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F9702E" w:rsidRPr="00F9702E" w:rsidRDefault="00F9702E" w:rsidP="007D00BF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D91F00" w:rsidRPr="00F9702E" w:rsidTr="00D91F00">
        <w:tc>
          <w:tcPr>
            <w:tcW w:w="264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6" w:type="pct"/>
          </w:tcPr>
          <w:p w:rsidR="00F9702E" w:rsidRDefault="00F9702E" w:rsidP="00F97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F9702E">
              <w:rPr>
                <w:rFonts w:ascii="Times New Roman" w:hAnsi="Times New Roman" w:cs="Times New Roman"/>
                <w:b/>
              </w:rPr>
              <w:t xml:space="preserve">Unit 2 : Bonding in coordination compounds 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F9702E" w:rsidRPr="00F9702E" w:rsidRDefault="00F9702E" w:rsidP="00F970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 xml:space="preserve">Valence Bond Theory (VBT): Salient features of theory, concept of inner and outer orbital complexes, Drawbacks of VBT. Crystal Field Theory: Splitting of d </w:t>
            </w:r>
            <w:proofErr w:type="spellStart"/>
            <w:r w:rsidRPr="00F9702E">
              <w:rPr>
                <w:rFonts w:ascii="Times New Roman" w:hAnsi="Times New Roman" w:cs="Times New Roman"/>
              </w:rPr>
              <w:t>orbitals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 in octahedral symmetry. Crystal field effects for weak and strong fields, Crystal field stabilization energy (CFSE), concept of pairing energy, Factors affecting the magnitude of Δ, </w:t>
            </w:r>
            <w:proofErr w:type="spellStart"/>
            <w:r w:rsidRPr="00F9702E">
              <w:rPr>
                <w:rFonts w:ascii="Times New Roman" w:hAnsi="Times New Roman" w:cs="Times New Roman"/>
              </w:rPr>
              <w:t>Spectrochemical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 series, Splitting of d </w:t>
            </w:r>
            <w:proofErr w:type="spellStart"/>
            <w:r w:rsidRPr="00F9702E">
              <w:rPr>
                <w:rFonts w:ascii="Times New Roman" w:hAnsi="Times New Roman" w:cs="Times New Roman"/>
              </w:rPr>
              <w:t>orbitals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 in tetrahedral symmetry, Comparison of CFSE for octahedral and tetrahedral fields, tetragonal distortion of octahedral geometry, </w:t>
            </w:r>
            <w:proofErr w:type="spellStart"/>
            <w:r w:rsidRPr="00F9702E">
              <w:rPr>
                <w:rFonts w:ascii="Times New Roman" w:hAnsi="Times New Roman" w:cs="Times New Roman"/>
              </w:rPr>
              <w:t>Jahn</w:t>
            </w:r>
            <w:proofErr w:type="spellEnd"/>
            <w:r w:rsidRPr="00F9702E">
              <w:rPr>
                <w:rFonts w:ascii="Times New Roman" w:hAnsi="Times New Roman" w:cs="Times New Roman"/>
              </w:rPr>
              <w:t>-Teller distortion</w:t>
            </w:r>
          </w:p>
        </w:tc>
        <w:tc>
          <w:tcPr>
            <w:tcW w:w="466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14 lectures</w:t>
            </w:r>
          </w:p>
        </w:tc>
        <w:tc>
          <w:tcPr>
            <w:tcW w:w="671" w:type="pct"/>
          </w:tcPr>
          <w:p w:rsidR="00F9702E" w:rsidRPr="00F9702E" w:rsidRDefault="000D442F" w:rsidP="007D0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Last week of August </w:t>
            </w:r>
            <w:r w:rsidRPr="00F9702E">
              <w:rPr>
                <w:rFonts w:ascii="Times New Roman" w:hAnsi="Times New Roman" w:cs="Times New Roman"/>
              </w:rPr>
              <w:t xml:space="preserve"> to </w:t>
            </w:r>
            <w:r>
              <w:rPr>
                <w:rFonts w:ascii="Times New Roman" w:hAnsi="Times New Roman" w:cs="Times New Roman"/>
              </w:rPr>
              <w:t>2</w:t>
            </w:r>
            <w:r w:rsidRPr="000D442F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02E">
              <w:rPr>
                <w:rFonts w:ascii="Times New Roman" w:hAnsi="Times New Roman" w:cs="Times New Roman"/>
              </w:rPr>
              <w:t xml:space="preserve">week of  </w:t>
            </w:r>
            <w:r>
              <w:rPr>
                <w:rFonts w:ascii="Times New Roman" w:hAnsi="Times New Roman" w:cs="Times New Roman"/>
              </w:rPr>
              <w:t>October</w:t>
            </w:r>
          </w:p>
        </w:tc>
        <w:tc>
          <w:tcPr>
            <w:tcW w:w="1393" w:type="pct"/>
          </w:tcPr>
          <w:p w:rsidR="000D442F" w:rsidRPr="000D442F" w:rsidRDefault="000D442F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Assignment distribution</w:t>
            </w:r>
          </w:p>
          <w:p w:rsidR="000D442F" w:rsidRPr="000D442F" w:rsidRDefault="000D442F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0D442F">
              <w:rPr>
                <w:rFonts w:ascii="Times New Roman" w:hAnsi="Times New Roman" w:cs="Times New Roman"/>
                <w:sz w:val="24"/>
                <w:szCs w:val="24"/>
              </w:rPr>
              <w:t>Question Solving</w:t>
            </w:r>
          </w:p>
          <w:p w:rsidR="000D442F" w:rsidRPr="000D442F" w:rsidRDefault="000D442F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0D442F">
              <w:rPr>
                <w:rFonts w:ascii="Times New Roman" w:hAnsi="Times New Roman" w:cs="Times New Roman"/>
                <w:sz w:val="24"/>
                <w:szCs w:val="24"/>
              </w:rPr>
              <w:t>Doubt Session</w:t>
            </w:r>
          </w:p>
          <w:p w:rsidR="00F9702E" w:rsidRPr="00D91F00" w:rsidRDefault="000D442F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0D442F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42F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:rsidR="00D91F00" w:rsidRPr="00F9702E" w:rsidRDefault="00D91F00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University Paper Discussion</w:t>
            </w:r>
          </w:p>
        </w:tc>
      </w:tr>
      <w:tr w:rsidR="00D91F00" w:rsidRPr="00F9702E" w:rsidTr="00D91F00">
        <w:tc>
          <w:tcPr>
            <w:tcW w:w="264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6" w:type="pct"/>
          </w:tcPr>
          <w:p w:rsidR="00F9702E" w:rsidRPr="00F9702E" w:rsidRDefault="00F9702E" w:rsidP="007D0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9702E">
              <w:rPr>
                <w:rFonts w:ascii="Times New Roman" w:hAnsi="Times New Roman" w:cs="Times New Roman"/>
                <w:b/>
              </w:rPr>
              <w:t>Unit 3: Thermodynamic and Kinetic aspects of Metal Complexes:</w:t>
            </w:r>
          </w:p>
          <w:p w:rsidR="00F9702E" w:rsidRPr="00F9702E" w:rsidRDefault="00F9702E" w:rsidP="007D0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 xml:space="preserve">A brief outline of thermodynamic and kinetic stabilities of metal complexes and factors affecting the stability. Substitution reactions of square-planar complexes – </w:t>
            </w:r>
            <w:proofErr w:type="gramStart"/>
            <w:r w:rsidRPr="00F9702E">
              <w:rPr>
                <w:rFonts w:ascii="Times New Roman" w:hAnsi="Times New Roman" w:cs="Times New Roman"/>
              </w:rPr>
              <w:t>Trans</w:t>
            </w:r>
            <w:proofErr w:type="gramEnd"/>
            <w:r w:rsidRPr="00F9702E">
              <w:rPr>
                <w:rFonts w:ascii="Times New Roman" w:hAnsi="Times New Roman" w:cs="Times New Roman"/>
              </w:rPr>
              <w:t xml:space="preserve"> effect: </w:t>
            </w:r>
            <w:proofErr w:type="spellStart"/>
            <w:r w:rsidRPr="00F9702E">
              <w:rPr>
                <w:rFonts w:ascii="Times New Roman" w:hAnsi="Times New Roman" w:cs="Times New Roman"/>
              </w:rPr>
              <w:t>cisplatin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 and trans </w:t>
            </w:r>
            <w:proofErr w:type="spellStart"/>
            <w:r w:rsidRPr="00F9702E">
              <w:rPr>
                <w:rFonts w:ascii="Times New Roman" w:hAnsi="Times New Roman" w:cs="Times New Roman"/>
              </w:rPr>
              <w:t>platin</w:t>
            </w:r>
            <w:proofErr w:type="spellEnd"/>
            <w:r w:rsidRPr="00F970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6</w:t>
            </w:r>
            <w:r w:rsidRPr="00F9702E">
              <w:rPr>
                <w:rFonts w:ascii="Times New Roman" w:hAnsi="Times New Roman" w:cs="Times New Roman"/>
              </w:rPr>
              <w:t xml:space="preserve"> lectures</w:t>
            </w:r>
          </w:p>
        </w:tc>
        <w:tc>
          <w:tcPr>
            <w:tcW w:w="671" w:type="pct"/>
          </w:tcPr>
          <w:p w:rsidR="00F9702E" w:rsidRPr="00F9702E" w:rsidRDefault="00F9702E" w:rsidP="007D00BF">
            <w:pPr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3</w:t>
            </w:r>
            <w:r w:rsidRPr="00F9702E">
              <w:rPr>
                <w:rFonts w:ascii="Times New Roman" w:hAnsi="Times New Roman" w:cs="Times New Roman"/>
                <w:vertAlign w:val="superscript"/>
              </w:rPr>
              <w:t>rd</w:t>
            </w:r>
            <w:r w:rsidR="000D442F">
              <w:rPr>
                <w:rFonts w:ascii="Times New Roman" w:hAnsi="Times New Roman" w:cs="Times New Roman"/>
              </w:rPr>
              <w:t xml:space="preserve"> week of October</w:t>
            </w:r>
            <w:r w:rsidRPr="00F9702E">
              <w:rPr>
                <w:rFonts w:ascii="Times New Roman" w:hAnsi="Times New Roman" w:cs="Times New Roman"/>
              </w:rPr>
              <w:t xml:space="preserve"> -</w:t>
            </w:r>
            <w:r w:rsidR="000D442F">
              <w:rPr>
                <w:rFonts w:ascii="Times New Roman" w:hAnsi="Times New Roman" w:cs="Times New Roman"/>
              </w:rPr>
              <w:t>2</w:t>
            </w:r>
            <w:r w:rsidR="000D442F">
              <w:rPr>
                <w:rFonts w:ascii="Times New Roman" w:hAnsi="Times New Roman" w:cs="Times New Roman"/>
                <w:vertAlign w:val="superscript"/>
              </w:rPr>
              <w:t>nd</w:t>
            </w:r>
            <w:r w:rsidRPr="00F9702E">
              <w:rPr>
                <w:rFonts w:ascii="Times New Roman" w:hAnsi="Times New Roman" w:cs="Times New Roman"/>
              </w:rPr>
              <w:t xml:space="preserve"> week of </w:t>
            </w:r>
            <w:r w:rsidR="000D442F">
              <w:rPr>
                <w:rFonts w:ascii="Times New Roman" w:hAnsi="Times New Roman" w:cs="Times New Roman"/>
              </w:rPr>
              <w:t>November</w:t>
            </w:r>
          </w:p>
        </w:tc>
        <w:tc>
          <w:tcPr>
            <w:tcW w:w="1393" w:type="pct"/>
          </w:tcPr>
          <w:p w:rsidR="00F9702E" w:rsidRPr="000D442F" w:rsidRDefault="00F9702E" w:rsidP="00D91F0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0D442F">
              <w:rPr>
                <w:rFonts w:ascii="Times New Roman" w:hAnsi="Times New Roman" w:cs="Times New Roman"/>
              </w:rPr>
              <w:t>Class test</w:t>
            </w:r>
          </w:p>
          <w:p w:rsidR="00F9702E" w:rsidRPr="00F9702E" w:rsidRDefault="00F9702E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Result discussion</w:t>
            </w:r>
          </w:p>
          <w:p w:rsidR="00F9702E" w:rsidRPr="00F9702E" w:rsidRDefault="00F9702E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Assignment collection</w:t>
            </w:r>
          </w:p>
          <w:p w:rsidR="00F9702E" w:rsidRPr="00F9702E" w:rsidRDefault="00F9702E" w:rsidP="00D91F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44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Discussion of previous year questions</w:t>
            </w:r>
          </w:p>
        </w:tc>
      </w:tr>
      <w:tr w:rsidR="00D91F00" w:rsidRPr="00F9702E" w:rsidTr="00D91F00">
        <w:tc>
          <w:tcPr>
            <w:tcW w:w="264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6" w:type="pct"/>
          </w:tcPr>
          <w:p w:rsidR="00F9702E" w:rsidRPr="00F9702E" w:rsidRDefault="00F9702E" w:rsidP="007D0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9702E">
              <w:rPr>
                <w:rFonts w:ascii="Times New Roman" w:hAnsi="Times New Roman" w:cs="Times New Roman"/>
                <w:b/>
              </w:rPr>
              <w:t>Unit 4: Application of coordination compounds in biological systems</w:t>
            </w:r>
          </w:p>
          <w:p w:rsidR="00F9702E" w:rsidRPr="00F9702E" w:rsidRDefault="00F9702E" w:rsidP="007D0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9702E">
              <w:rPr>
                <w:rFonts w:ascii="Times New Roman" w:hAnsi="Times New Roman" w:cs="Times New Roman"/>
              </w:rPr>
              <w:t xml:space="preserve">Haemoglobin, </w:t>
            </w:r>
            <w:proofErr w:type="spellStart"/>
            <w:r w:rsidRPr="00F9702E">
              <w:rPr>
                <w:rFonts w:ascii="Times New Roman" w:hAnsi="Times New Roman" w:cs="Times New Roman"/>
              </w:rPr>
              <w:t>Myoglobin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9702E">
              <w:rPr>
                <w:rFonts w:ascii="Times New Roman" w:hAnsi="Times New Roman" w:cs="Times New Roman"/>
              </w:rPr>
              <w:t>carboxypeptidase</w:t>
            </w:r>
            <w:proofErr w:type="spellEnd"/>
            <w:r w:rsidRPr="00F9702E">
              <w:rPr>
                <w:rFonts w:ascii="Times New Roman" w:hAnsi="Times New Roman" w:cs="Times New Roman"/>
              </w:rPr>
              <w:t xml:space="preserve">, carbonic </w:t>
            </w:r>
            <w:proofErr w:type="spellStart"/>
            <w:r w:rsidRPr="00F9702E">
              <w:rPr>
                <w:rFonts w:ascii="Times New Roman" w:hAnsi="Times New Roman" w:cs="Times New Roman"/>
              </w:rPr>
              <w:t>anhydrase</w:t>
            </w:r>
            <w:proofErr w:type="spellEnd"/>
          </w:p>
        </w:tc>
        <w:tc>
          <w:tcPr>
            <w:tcW w:w="466" w:type="pct"/>
          </w:tcPr>
          <w:p w:rsidR="00F9702E" w:rsidRPr="00F9702E" w:rsidRDefault="00F9702E" w:rsidP="007D00BF">
            <w:pPr>
              <w:jc w:val="center"/>
              <w:rPr>
                <w:rFonts w:ascii="Times New Roman" w:hAnsi="Times New Roman" w:cs="Times New Roman"/>
              </w:rPr>
            </w:pPr>
            <w:r w:rsidRPr="00F9702E">
              <w:rPr>
                <w:rFonts w:ascii="Times New Roman" w:hAnsi="Times New Roman" w:cs="Times New Roman"/>
              </w:rPr>
              <w:t>4 lectures</w:t>
            </w:r>
          </w:p>
        </w:tc>
        <w:tc>
          <w:tcPr>
            <w:tcW w:w="671" w:type="pct"/>
          </w:tcPr>
          <w:p w:rsidR="00F9702E" w:rsidRPr="00F9702E" w:rsidRDefault="000D442F" w:rsidP="007D00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442F">
              <w:rPr>
                <w:rFonts w:ascii="Times New Roman" w:hAnsi="Times New Roman" w:cs="Times New Roman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</w:rPr>
              <w:t xml:space="preserve"> week of November- Last week of November</w:t>
            </w:r>
          </w:p>
        </w:tc>
        <w:tc>
          <w:tcPr>
            <w:tcW w:w="1393" w:type="pct"/>
          </w:tcPr>
          <w:p w:rsidR="00F9702E" w:rsidRPr="00D91F00" w:rsidRDefault="00D91F00" w:rsidP="00D91F00">
            <w:pPr>
              <w:pStyle w:val="TableParagraph"/>
              <w:numPr>
                <w:ilvl w:val="0"/>
                <w:numId w:val="6"/>
              </w:numPr>
              <w:spacing w:before="3"/>
              <w:ind w:left="444" w:right="1016"/>
            </w:pPr>
            <w:r>
              <w:rPr>
                <w:sz w:val="24"/>
                <w:szCs w:val="24"/>
              </w:rPr>
              <w:t>University Paper    Discussion</w:t>
            </w:r>
          </w:p>
          <w:p w:rsidR="00D91F00" w:rsidRPr="00F9702E" w:rsidRDefault="00D91F00" w:rsidP="00D91F00">
            <w:pPr>
              <w:pStyle w:val="TableParagraph"/>
              <w:numPr>
                <w:ilvl w:val="0"/>
                <w:numId w:val="6"/>
              </w:numPr>
              <w:spacing w:before="3"/>
              <w:ind w:left="444" w:right="1016"/>
            </w:pPr>
            <w:r>
              <w:rPr>
                <w:sz w:val="24"/>
                <w:szCs w:val="24"/>
              </w:rPr>
              <w:t>Doubt Session</w:t>
            </w:r>
          </w:p>
        </w:tc>
      </w:tr>
    </w:tbl>
    <w:p w:rsidR="00F9702E" w:rsidRPr="00F9702E" w:rsidRDefault="00F9702E" w:rsidP="00F9702E">
      <w:pPr>
        <w:rPr>
          <w:rFonts w:ascii="Times New Roman" w:hAnsi="Times New Roman" w:cs="Times New Roman"/>
        </w:rPr>
      </w:pPr>
    </w:p>
    <w:p w:rsidR="00487767" w:rsidRPr="00D91F00" w:rsidRDefault="00D91F00" w:rsidP="00D91F00">
      <w:pPr>
        <w:ind w:left="10080" w:firstLine="720"/>
        <w:rPr>
          <w:rFonts w:ascii="Times New Roman" w:hAnsi="Times New Roman" w:cs="Times New Roman"/>
          <w:b/>
        </w:rPr>
      </w:pPr>
      <w:r w:rsidRPr="00D91F00">
        <w:rPr>
          <w:rFonts w:ascii="Times New Roman" w:hAnsi="Times New Roman" w:cs="Times New Roman"/>
          <w:b/>
        </w:rPr>
        <w:t xml:space="preserve">Name of Teacher: Dr </w:t>
      </w:r>
      <w:proofErr w:type="spellStart"/>
      <w:r w:rsidRPr="00D91F00">
        <w:rPr>
          <w:rFonts w:ascii="Times New Roman" w:hAnsi="Times New Roman" w:cs="Times New Roman"/>
          <w:b/>
        </w:rPr>
        <w:t>Rajita</w:t>
      </w:r>
      <w:proofErr w:type="spellEnd"/>
    </w:p>
    <w:sectPr w:rsidR="00487767" w:rsidRPr="00D91F00" w:rsidSect="00EF2B57">
      <w:pgSz w:w="15840" w:h="12240" w:orient="landscape"/>
      <w:pgMar w:top="36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D4080"/>
    <w:multiLevelType w:val="hybridMultilevel"/>
    <w:tmpl w:val="4B8CA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C13C5"/>
    <w:multiLevelType w:val="hybridMultilevel"/>
    <w:tmpl w:val="5FE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3C0F4F"/>
    <w:multiLevelType w:val="hybridMultilevel"/>
    <w:tmpl w:val="D96C9672"/>
    <w:lvl w:ilvl="0" w:tplc="0409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">
    <w:nsid w:val="528D1F8E"/>
    <w:multiLevelType w:val="hybridMultilevel"/>
    <w:tmpl w:val="5E902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008FA"/>
    <w:multiLevelType w:val="hybridMultilevel"/>
    <w:tmpl w:val="33E0603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74077A61"/>
    <w:multiLevelType w:val="hybridMultilevel"/>
    <w:tmpl w:val="56EAB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9702E"/>
    <w:rsid w:val="000D442F"/>
    <w:rsid w:val="00487767"/>
    <w:rsid w:val="00D91F00"/>
    <w:rsid w:val="00F9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702E"/>
    <w:pPr>
      <w:spacing w:after="0" w:line="240" w:lineRule="auto"/>
    </w:pPr>
    <w:rPr>
      <w:rFonts w:eastAsia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9702E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TableParagraph">
    <w:name w:val="Table Paragraph"/>
    <w:basedOn w:val="Normal"/>
    <w:uiPriority w:val="1"/>
    <w:qFormat/>
    <w:rsid w:val="00F97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Shivesh Berwal</dc:creator>
  <cp:keywords/>
  <dc:description/>
  <cp:lastModifiedBy>Shivesh Berwal</cp:lastModifiedBy>
  <cp:revision>2</cp:revision>
  <dcterms:created xsi:type="dcterms:W3CDTF">2025-09-17T13:44:00Z</dcterms:created>
  <dcterms:modified xsi:type="dcterms:W3CDTF">2025-09-17T14:15:00Z</dcterms:modified>
</cp:coreProperties>
</file>