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36" w:rsidRPr="00630B79" w:rsidRDefault="00857D36" w:rsidP="00857D36">
      <w:pPr>
        <w:jc w:val="center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Curriculum plan </w:t>
      </w:r>
      <w:r w:rsidR="006E169E" w:rsidRPr="00630B79">
        <w:rPr>
          <w:rFonts w:ascii="Times New Roman" w:hAnsi="Times New Roman" w:cs="Times New Roman"/>
          <w:b/>
        </w:rPr>
        <w:t>(</w:t>
      </w:r>
      <w:r w:rsidR="00F83477">
        <w:rPr>
          <w:rFonts w:ascii="Times New Roman" w:hAnsi="Times New Roman" w:cs="Times New Roman"/>
          <w:b/>
        </w:rPr>
        <w:t>Odd Semester 20</w:t>
      </w:r>
      <w:r w:rsidRPr="00630B79">
        <w:rPr>
          <w:rFonts w:ascii="Times New Roman" w:hAnsi="Times New Roman" w:cs="Times New Roman"/>
          <w:b/>
        </w:rPr>
        <w:t>2</w:t>
      </w:r>
      <w:r w:rsidR="00F83477">
        <w:rPr>
          <w:rFonts w:ascii="Times New Roman" w:hAnsi="Times New Roman" w:cs="Times New Roman"/>
          <w:b/>
        </w:rPr>
        <w:t>1</w:t>
      </w:r>
      <w:r w:rsidR="00651F1C">
        <w:rPr>
          <w:rFonts w:ascii="Times New Roman" w:hAnsi="Times New Roman" w:cs="Times New Roman"/>
          <w:b/>
        </w:rPr>
        <w:t>-22</w:t>
      </w:r>
      <w:r w:rsidRPr="00630B79">
        <w:rPr>
          <w:rFonts w:ascii="Times New Roman" w:hAnsi="Times New Roman" w:cs="Times New Roman"/>
          <w:b/>
        </w:rPr>
        <w:t>)</w:t>
      </w:r>
    </w:p>
    <w:p w:rsidR="001F2C7C" w:rsidRDefault="001F2C7C" w:rsidP="00857D36">
      <w:pPr>
        <w:rPr>
          <w:rFonts w:ascii="Times New Roman" w:hAnsi="Times New Roman" w:cs="Times New Roman"/>
          <w:b/>
        </w:rPr>
      </w:pPr>
    </w:p>
    <w:p w:rsidR="00857D36" w:rsidRPr="00630B79" w:rsidRDefault="00857D36" w:rsidP="00857D36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 w:rsidR="001F2C7C">
        <w:rPr>
          <w:rFonts w:ascii="Times New Roman" w:hAnsi="Times New Roman" w:cs="Times New Roman"/>
          <w:b/>
        </w:rPr>
        <w:t xml:space="preserve">Dr Rashmi Chaudhary </w:t>
      </w:r>
    </w:p>
    <w:p w:rsidR="00857D36" w:rsidRPr="00630B79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Paper name: </w:t>
      </w:r>
      <w:r w:rsidR="00CA6D95">
        <w:rPr>
          <w:rFonts w:ascii="Times New Roman" w:hAnsi="Times New Roman" w:cs="Times New Roman"/>
          <w:b/>
        </w:rPr>
        <w:t xml:space="preserve">Money and Banking </w:t>
      </w:r>
    </w:p>
    <w:p w:rsidR="00B33F52" w:rsidRPr="00630B79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 w:rsidR="001F2C7C">
        <w:rPr>
          <w:rFonts w:ascii="Times New Roman" w:hAnsi="Times New Roman" w:cs="Times New Roman"/>
          <w:b/>
        </w:rPr>
        <w:t>B.A (</w:t>
      </w:r>
      <w:proofErr w:type="spellStart"/>
      <w:r w:rsidR="00BC172E">
        <w:rPr>
          <w:rFonts w:ascii="Times New Roman" w:hAnsi="Times New Roman" w:cs="Times New Roman"/>
          <w:b/>
        </w:rPr>
        <w:t>Prog</w:t>
      </w:r>
      <w:proofErr w:type="spellEnd"/>
      <w:r w:rsidR="001F2C7C">
        <w:rPr>
          <w:rFonts w:ascii="Times New Roman" w:hAnsi="Times New Roman" w:cs="Times New Roman"/>
          <w:b/>
        </w:rPr>
        <w:t>)</w:t>
      </w:r>
      <w:r w:rsidR="00BC172E">
        <w:rPr>
          <w:rFonts w:ascii="Times New Roman" w:hAnsi="Times New Roman" w:cs="Times New Roman"/>
          <w:b/>
        </w:rPr>
        <w:t xml:space="preserve"> </w:t>
      </w:r>
      <w:proofErr w:type="spellStart"/>
      <w:r w:rsidR="00BC172E">
        <w:rPr>
          <w:rFonts w:ascii="Times New Roman" w:hAnsi="Times New Roman" w:cs="Times New Roman"/>
          <w:b/>
        </w:rPr>
        <w:t>Vth</w:t>
      </w:r>
      <w:proofErr w:type="spellEnd"/>
      <w:r w:rsidR="001F2C7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1F2C7C">
        <w:rPr>
          <w:rFonts w:ascii="Times New Roman" w:hAnsi="Times New Roman" w:cs="Times New Roman"/>
          <w:b/>
        </w:rPr>
        <w:t>Sem</w:t>
      </w:r>
      <w:proofErr w:type="spellEnd"/>
      <w:proofErr w:type="gramEnd"/>
    </w:p>
    <w:p w:rsidR="00857D36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 w:rsidR="001F2C7C">
        <w:rPr>
          <w:rFonts w:ascii="Times New Roman" w:hAnsi="Times New Roman" w:cs="Times New Roman"/>
          <w:b/>
        </w:rPr>
        <w:t xml:space="preserve"> None</w:t>
      </w:r>
    </w:p>
    <w:p w:rsidR="00540A83" w:rsidRDefault="00540A83" w:rsidP="00857D3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776" w:type="dxa"/>
        <w:tblLayout w:type="fixed"/>
        <w:tblLook w:val="04A0"/>
      </w:tblPr>
      <w:tblGrid>
        <w:gridCol w:w="4957"/>
        <w:gridCol w:w="2268"/>
        <w:gridCol w:w="2551"/>
      </w:tblGrid>
      <w:tr w:rsidR="001A23BE" w:rsidTr="00540A83">
        <w:tc>
          <w:tcPr>
            <w:tcW w:w="4957" w:type="dxa"/>
          </w:tcPr>
          <w:p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268" w:type="dxa"/>
          </w:tcPr>
          <w:p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551" w:type="dxa"/>
          </w:tcPr>
          <w:p w:rsidR="001A23BE" w:rsidRPr="00857D36" w:rsidRDefault="001A23BE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1352BA" w:rsidTr="00540A83">
        <w:tc>
          <w:tcPr>
            <w:tcW w:w="4957" w:type="dxa"/>
          </w:tcPr>
          <w:p w:rsidR="00D13ECA" w:rsidRPr="00823BB6" w:rsidRDefault="001352BA" w:rsidP="00D13ECA">
            <w:pPr>
              <w:rPr>
                <w:rFonts w:ascii="Times New Roman" w:hAnsi="Times New Roman" w:cs="Times New Roman"/>
                <w:b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t xml:space="preserve">Unit- 1 </w:t>
            </w:r>
            <w:r w:rsidR="00D13ECA" w:rsidRPr="00823BB6">
              <w:rPr>
                <w:rFonts w:ascii="Times New Roman" w:hAnsi="Times New Roman" w:cs="Times New Roman"/>
                <w:b/>
              </w:rPr>
              <w:t>MONEY: Concept, Functions, Measurement, Theories of Money Supply Determination</w:t>
            </w:r>
          </w:p>
          <w:p w:rsidR="00D13ECA" w:rsidRPr="00823BB6" w:rsidRDefault="00D13ECA" w:rsidP="002B0118">
            <w:pPr>
              <w:pStyle w:val="normal0"/>
              <w:rPr>
                <w:rFonts w:ascii="Times New Roman" w:hAnsi="Times New Roman" w:cs="Times New Roman"/>
              </w:rPr>
            </w:pPr>
            <w:r w:rsidRPr="00823BB6">
              <w:rPr>
                <w:rFonts w:ascii="Times New Roman" w:hAnsi="Times New Roman" w:cs="Times New Roman"/>
              </w:rPr>
              <w:t>1.Baye and Jansen</w:t>
            </w:r>
            <w:r w:rsidR="002B0118" w:rsidRPr="00823BB6">
              <w:rPr>
                <w:rFonts w:ascii="Times New Roman" w:hAnsi="Times New Roman" w:cs="Times New Roman"/>
              </w:rPr>
              <w:t xml:space="preserve"> </w:t>
            </w:r>
            <w:r w:rsidR="002B0118"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Chapter 1 (p. 2 – 27); Chapter 14 (p. 465-486) </w:t>
            </w:r>
          </w:p>
        </w:tc>
        <w:tc>
          <w:tcPr>
            <w:tcW w:w="2268" w:type="dxa"/>
          </w:tcPr>
          <w:p w:rsidR="001352BA" w:rsidRPr="00823BB6" w:rsidRDefault="001352BA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 w:rsidP="00801BDB">
            <w:pPr>
              <w:rPr>
                <w:rFonts w:ascii="Times New Roman" w:hAnsi="Times New Roman" w:cs="Times New Roman"/>
              </w:rPr>
            </w:pPr>
          </w:p>
          <w:p w:rsidR="00CA6D95" w:rsidRPr="00823BB6" w:rsidRDefault="00BC172E" w:rsidP="0080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  <w:r w:rsidR="00801BDB" w:rsidRPr="00823BB6">
              <w:rPr>
                <w:rFonts w:ascii="Times New Roman" w:hAnsi="Times New Roman" w:cs="Times New Roman"/>
              </w:rPr>
              <w:t xml:space="preserve"> - </w:t>
            </w:r>
            <w:r w:rsidR="00CA6D95" w:rsidRPr="00823BB6"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2551" w:type="dxa"/>
            <w:vMerge w:val="restart"/>
          </w:tcPr>
          <w:p w:rsidR="00C9071E" w:rsidRPr="00823BB6" w:rsidRDefault="00C9071E">
            <w:pPr>
              <w:rPr>
                <w:rFonts w:ascii="Times New Roman" w:hAnsi="Times New Roman" w:cs="Times New Roman"/>
              </w:rPr>
            </w:pP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3BB6">
              <w:rPr>
                <w:rFonts w:ascii="Times New Roman" w:hAnsi="Times New Roman" w:cs="Times New Roman"/>
                <w:b/>
                <w:u w:val="single"/>
              </w:rPr>
              <w:t>Internal Assessment</w:t>
            </w: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23BB6">
              <w:rPr>
                <w:rFonts w:ascii="Times New Roman" w:hAnsi="Times New Roman" w:cs="Times New Roman"/>
                <w:b/>
                <w:u w:val="single"/>
              </w:rPr>
              <w:t>20 marks</w:t>
            </w: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</w:rPr>
            </w:pP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</w:rPr>
            </w:pPr>
            <w:r w:rsidRPr="00823BB6">
              <w:rPr>
                <w:rFonts w:ascii="Times New Roman" w:hAnsi="Times New Roman" w:cs="Times New Roman"/>
                <w:b/>
              </w:rPr>
              <w:t>3 tests</w:t>
            </w: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</w:rPr>
            </w:pPr>
          </w:p>
          <w:p w:rsidR="00C9071E" w:rsidRPr="00823BB6" w:rsidRDefault="009B5F3E" w:rsidP="00C9071E">
            <w:pPr>
              <w:rPr>
                <w:rFonts w:ascii="Times New Roman" w:hAnsi="Times New Roman" w:cs="Times New Roman"/>
                <w:b/>
              </w:rPr>
            </w:pPr>
            <w:r w:rsidRPr="00823BB6">
              <w:rPr>
                <w:rFonts w:ascii="Times New Roman" w:hAnsi="Times New Roman" w:cs="Times New Roman"/>
                <w:b/>
              </w:rPr>
              <w:t xml:space="preserve">Test 1 </w:t>
            </w:r>
            <w:r w:rsidR="00BC172E">
              <w:rPr>
                <w:rFonts w:ascii="Times New Roman" w:hAnsi="Times New Roman" w:cs="Times New Roman"/>
                <w:b/>
              </w:rPr>
              <w:t>–</w:t>
            </w:r>
            <w:r w:rsidRPr="00823BB6">
              <w:rPr>
                <w:rFonts w:ascii="Times New Roman" w:hAnsi="Times New Roman" w:cs="Times New Roman"/>
                <w:b/>
              </w:rPr>
              <w:t xml:space="preserve"> </w:t>
            </w:r>
            <w:r w:rsidR="00BC172E">
              <w:rPr>
                <w:rFonts w:ascii="Times New Roman" w:hAnsi="Times New Roman" w:cs="Times New Roman"/>
                <w:b/>
              </w:rPr>
              <w:t>1st</w:t>
            </w:r>
            <w:r w:rsidR="00C9071E" w:rsidRPr="00823BB6">
              <w:rPr>
                <w:rFonts w:ascii="Times New Roman" w:hAnsi="Times New Roman" w:cs="Times New Roman"/>
                <w:b/>
              </w:rPr>
              <w:t xml:space="preserve">  September 202</w:t>
            </w:r>
            <w:r w:rsidR="00BC172E">
              <w:rPr>
                <w:rFonts w:ascii="Times New Roman" w:hAnsi="Times New Roman" w:cs="Times New Roman"/>
                <w:b/>
              </w:rPr>
              <w:t>1</w:t>
            </w: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</w:rPr>
            </w:pPr>
          </w:p>
          <w:p w:rsidR="00C9071E" w:rsidRPr="00823BB6" w:rsidRDefault="009B5F3E" w:rsidP="00C9071E">
            <w:pPr>
              <w:rPr>
                <w:rFonts w:ascii="Times New Roman" w:hAnsi="Times New Roman" w:cs="Times New Roman"/>
                <w:b/>
              </w:rPr>
            </w:pPr>
            <w:r w:rsidRPr="00823BB6">
              <w:rPr>
                <w:rFonts w:ascii="Times New Roman" w:hAnsi="Times New Roman" w:cs="Times New Roman"/>
                <w:b/>
              </w:rPr>
              <w:t xml:space="preserve">Test 2 - </w:t>
            </w:r>
            <w:r w:rsidR="00C9071E" w:rsidRPr="00823BB6">
              <w:rPr>
                <w:rFonts w:ascii="Times New Roman" w:hAnsi="Times New Roman" w:cs="Times New Roman"/>
                <w:b/>
              </w:rPr>
              <w:t>3</w:t>
            </w:r>
            <w:r w:rsidR="00C9071E" w:rsidRPr="00823BB6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 w:rsidR="00C9071E" w:rsidRPr="00823BB6">
              <w:rPr>
                <w:rFonts w:ascii="Times New Roman" w:hAnsi="Times New Roman" w:cs="Times New Roman"/>
                <w:b/>
              </w:rPr>
              <w:t xml:space="preserve"> week of October 202</w:t>
            </w:r>
            <w:r w:rsidR="00323C5C">
              <w:rPr>
                <w:rFonts w:ascii="Times New Roman" w:hAnsi="Times New Roman" w:cs="Times New Roman"/>
                <w:b/>
              </w:rPr>
              <w:t>1</w:t>
            </w: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</w:rPr>
            </w:pPr>
          </w:p>
          <w:p w:rsidR="00C9071E" w:rsidRPr="00823BB6" w:rsidRDefault="009B5F3E" w:rsidP="00C9071E">
            <w:pPr>
              <w:rPr>
                <w:rFonts w:ascii="Times New Roman" w:hAnsi="Times New Roman" w:cs="Times New Roman"/>
                <w:b/>
              </w:rPr>
            </w:pPr>
            <w:r w:rsidRPr="00823BB6">
              <w:rPr>
                <w:rFonts w:ascii="Times New Roman" w:hAnsi="Times New Roman" w:cs="Times New Roman"/>
                <w:b/>
              </w:rPr>
              <w:t xml:space="preserve">Test 3 </w:t>
            </w:r>
            <w:r w:rsidR="00323C5C">
              <w:rPr>
                <w:rFonts w:ascii="Times New Roman" w:hAnsi="Times New Roman" w:cs="Times New Roman"/>
                <w:b/>
              </w:rPr>
              <w:t>–</w:t>
            </w:r>
            <w:r w:rsidRPr="00823BB6">
              <w:rPr>
                <w:rFonts w:ascii="Times New Roman" w:hAnsi="Times New Roman" w:cs="Times New Roman"/>
                <w:b/>
              </w:rPr>
              <w:t xml:space="preserve"> </w:t>
            </w:r>
            <w:r w:rsidR="00323C5C">
              <w:rPr>
                <w:rFonts w:ascii="Times New Roman" w:hAnsi="Times New Roman" w:cs="Times New Roman"/>
                <w:b/>
              </w:rPr>
              <w:t>1st</w:t>
            </w:r>
            <w:r w:rsidR="00C9071E" w:rsidRPr="00823BB6">
              <w:rPr>
                <w:rFonts w:ascii="Times New Roman" w:hAnsi="Times New Roman" w:cs="Times New Roman"/>
                <w:b/>
              </w:rPr>
              <w:t xml:space="preserve"> week of November 202</w:t>
            </w:r>
            <w:r w:rsidR="00323C5C">
              <w:rPr>
                <w:rFonts w:ascii="Times New Roman" w:hAnsi="Times New Roman" w:cs="Times New Roman"/>
                <w:b/>
              </w:rPr>
              <w:t>1</w:t>
            </w: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</w:rPr>
            </w:pP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</w:rPr>
            </w:pPr>
          </w:p>
          <w:p w:rsidR="00C9071E" w:rsidRPr="00823BB6" w:rsidRDefault="00BC172E" w:rsidP="00C9071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Mid Semester Break</w:t>
            </w:r>
            <w:r w:rsidR="0014355F">
              <w:rPr>
                <w:rFonts w:ascii="Times New Roman" w:hAnsi="Times New Roman" w:cs="Times New Roman"/>
                <w:b/>
                <w:u w:val="single"/>
              </w:rPr>
              <w:t xml:space="preserve"> – 10</w:t>
            </w:r>
            <w:r w:rsidR="0014355F" w:rsidRPr="0014355F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14355F">
              <w:rPr>
                <w:rFonts w:ascii="Times New Roman" w:hAnsi="Times New Roman" w:cs="Times New Roman"/>
                <w:b/>
                <w:u w:val="single"/>
              </w:rPr>
              <w:t xml:space="preserve"> October-17</w:t>
            </w:r>
            <w:r w:rsidR="0014355F" w:rsidRPr="0014355F">
              <w:rPr>
                <w:rFonts w:ascii="Times New Roman" w:hAnsi="Times New Roman" w:cs="Times New Roman"/>
                <w:b/>
                <w:u w:val="single"/>
                <w:vertAlign w:val="superscript"/>
              </w:rPr>
              <w:t>th</w:t>
            </w:r>
            <w:r w:rsidR="0014355F">
              <w:rPr>
                <w:rFonts w:ascii="Times New Roman" w:hAnsi="Times New Roman" w:cs="Times New Roman"/>
                <w:b/>
                <w:u w:val="single"/>
              </w:rPr>
              <w:t xml:space="preserve"> October</w:t>
            </w: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</w:rPr>
            </w:pP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</w:rPr>
            </w:pP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  <w:b/>
              </w:rPr>
            </w:pPr>
          </w:p>
          <w:p w:rsidR="00C9071E" w:rsidRPr="00823BB6" w:rsidRDefault="00C9071E" w:rsidP="00C9071E">
            <w:pPr>
              <w:rPr>
                <w:rFonts w:ascii="Times New Roman" w:hAnsi="Times New Roman" w:cs="Times New Roman"/>
              </w:rPr>
            </w:pPr>
            <w:r w:rsidRPr="00823B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2BA" w:rsidTr="00540A83">
        <w:tc>
          <w:tcPr>
            <w:tcW w:w="4957" w:type="dxa"/>
          </w:tcPr>
          <w:p w:rsidR="002B0118" w:rsidRPr="00823BB6" w:rsidRDefault="002B0118" w:rsidP="002B0118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2. N Jadhav Chapter 2 Section 2.1, (p. 18 –25); </w:t>
            </w:r>
          </w:p>
          <w:p w:rsidR="001352BA" w:rsidRPr="00823BB6" w:rsidRDefault="002B0118" w:rsidP="002B0118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Section 2.3 (p. 37-45); Annexure 2.1 </w:t>
            </w:r>
          </w:p>
        </w:tc>
        <w:tc>
          <w:tcPr>
            <w:tcW w:w="2268" w:type="dxa"/>
          </w:tcPr>
          <w:p w:rsidR="00CA6D95" w:rsidRPr="00823BB6" w:rsidRDefault="00BC172E" w:rsidP="0080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  <w:r w:rsidR="00801BDB" w:rsidRPr="00823BB6">
              <w:rPr>
                <w:rFonts w:ascii="Times New Roman" w:hAnsi="Times New Roman" w:cs="Times New Roman"/>
              </w:rPr>
              <w:t xml:space="preserve"> - </w:t>
            </w:r>
            <w:r w:rsidR="00CA6D95" w:rsidRPr="00823BB6">
              <w:rPr>
                <w:rFonts w:ascii="Times New Roman" w:hAnsi="Times New Roman" w:cs="Times New Roman"/>
              </w:rPr>
              <w:t>Week 4</w:t>
            </w:r>
          </w:p>
        </w:tc>
        <w:tc>
          <w:tcPr>
            <w:tcW w:w="2551" w:type="dxa"/>
            <w:vMerge/>
          </w:tcPr>
          <w:p w:rsidR="001352BA" w:rsidRDefault="001352BA"/>
        </w:tc>
      </w:tr>
      <w:tr w:rsidR="001352BA" w:rsidTr="00540A83">
        <w:tc>
          <w:tcPr>
            <w:tcW w:w="4957" w:type="dxa"/>
          </w:tcPr>
          <w:p w:rsidR="002B0118" w:rsidRPr="00823BB6" w:rsidRDefault="002B0118" w:rsidP="002B0118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3. RBI Report Money Supply Analytics and Methodology </w:t>
            </w:r>
          </w:p>
          <w:p w:rsidR="001352BA" w:rsidRPr="00823BB6" w:rsidRDefault="002B0118" w:rsidP="002B011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>of Compilation 1998 chapter 2 (p. 11-17)</w:t>
            </w:r>
          </w:p>
        </w:tc>
        <w:tc>
          <w:tcPr>
            <w:tcW w:w="2268" w:type="dxa"/>
          </w:tcPr>
          <w:p w:rsidR="00CA6D95" w:rsidRPr="00823BB6" w:rsidRDefault="00BC172E" w:rsidP="00801BD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August</w:t>
            </w:r>
            <w:r w:rsidR="00801BDB" w:rsidRPr="00823BB6">
              <w:rPr>
                <w:rFonts w:ascii="Times New Roman" w:hAnsi="Times New Roman" w:cs="Times New Roman"/>
              </w:rPr>
              <w:t xml:space="preserve"> - </w:t>
            </w:r>
            <w:r w:rsidR="00CA6D95" w:rsidRPr="00823BB6"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2551" w:type="dxa"/>
            <w:vMerge/>
          </w:tcPr>
          <w:p w:rsidR="001352BA" w:rsidRDefault="001352BA"/>
        </w:tc>
      </w:tr>
      <w:tr w:rsidR="001352BA" w:rsidTr="00540A83">
        <w:tc>
          <w:tcPr>
            <w:tcW w:w="4957" w:type="dxa"/>
          </w:tcPr>
          <w:p w:rsidR="001352BA" w:rsidRPr="00823BB6" w:rsidRDefault="002B0118" w:rsidP="000179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t xml:space="preserve">Unit – 2 </w:t>
            </w:r>
            <w:r w:rsidRPr="00823BB6">
              <w:rPr>
                <w:rFonts w:ascii="Times New Roman" w:eastAsia="Times New Roman" w:hAnsi="Times New Roman" w:cs="Times New Roman"/>
                <w:b/>
                <w:color w:val="000000"/>
              </w:rPr>
              <w:t>FINANCIAL INSTITUTIONS, MARKETS, INSTRUMENTS AND FINANCIAL INNOVATIONS</w:t>
            </w:r>
          </w:p>
          <w:p w:rsidR="002B0118" w:rsidRPr="00823BB6" w:rsidRDefault="002B0118" w:rsidP="0001792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b/>
                <w:color w:val="000000"/>
              </w:rPr>
              <w:t>a) Role of Financial Markets and Institutions; problems of asymmetric information – adverse selection and moral hazard, financial crisis</w:t>
            </w:r>
          </w:p>
          <w:p w:rsidR="002B0118" w:rsidRPr="00823BB6" w:rsidRDefault="002B0118" w:rsidP="002B0118">
            <w:pPr>
              <w:pStyle w:val="normal0"/>
              <w:rPr>
                <w:rFonts w:ascii="Times New Roman" w:hAnsi="Times New Roman" w:cs="Times New Roman"/>
                <w:b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1. Mishkin &amp; Eakins Chapter 15 (p. 369 – 396) </w:t>
            </w:r>
          </w:p>
        </w:tc>
        <w:tc>
          <w:tcPr>
            <w:tcW w:w="2268" w:type="dxa"/>
          </w:tcPr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CA6D95" w:rsidRPr="00823BB6" w:rsidRDefault="0014355F" w:rsidP="0080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 w:rsidR="00801BDB" w:rsidRPr="00823BB6">
              <w:rPr>
                <w:rFonts w:ascii="Times New Roman" w:hAnsi="Times New Roman" w:cs="Times New Roman"/>
              </w:rPr>
              <w:t xml:space="preserve"> - </w:t>
            </w:r>
            <w:r w:rsidR="00CA6D95" w:rsidRPr="00823BB6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2551" w:type="dxa"/>
            <w:vMerge/>
          </w:tcPr>
          <w:p w:rsidR="001352BA" w:rsidRDefault="001352BA"/>
        </w:tc>
      </w:tr>
      <w:tr w:rsidR="001352BA" w:rsidTr="00540A83">
        <w:tc>
          <w:tcPr>
            <w:tcW w:w="4957" w:type="dxa"/>
          </w:tcPr>
          <w:p w:rsidR="001352BA" w:rsidRPr="00823BB6" w:rsidRDefault="00450EFB" w:rsidP="00450EFB">
            <w:pPr>
              <w:pStyle w:val="normal0"/>
              <w:rPr>
                <w:rFonts w:ascii="Times New Roman" w:hAnsi="Times New Roman" w:cs="Times New Roman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>2. M Y Khan Chapter 1 (p 1.13-1.15)</w:t>
            </w:r>
          </w:p>
        </w:tc>
        <w:tc>
          <w:tcPr>
            <w:tcW w:w="2268" w:type="dxa"/>
          </w:tcPr>
          <w:p w:rsidR="00801BDB" w:rsidRPr="00823BB6" w:rsidRDefault="0014355F" w:rsidP="0080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 w:rsidR="00801BDB" w:rsidRPr="00823BB6">
              <w:rPr>
                <w:rFonts w:ascii="Times New Roman" w:hAnsi="Times New Roman" w:cs="Times New Roman"/>
              </w:rPr>
              <w:t xml:space="preserve"> -Week 3</w:t>
            </w:r>
          </w:p>
        </w:tc>
        <w:tc>
          <w:tcPr>
            <w:tcW w:w="2551" w:type="dxa"/>
            <w:vMerge/>
          </w:tcPr>
          <w:p w:rsidR="001352BA" w:rsidRDefault="001352BA"/>
        </w:tc>
      </w:tr>
      <w:tr w:rsidR="001352BA" w:rsidTr="00540A83">
        <w:tc>
          <w:tcPr>
            <w:tcW w:w="4957" w:type="dxa"/>
          </w:tcPr>
          <w:p w:rsidR="001352BA" w:rsidRPr="00823BB6" w:rsidRDefault="00450EFB" w:rsidP="00003364">
            <w:pPr>
              <w:rPr>
                <w:rFonts w:ascii="Times New Roman" w:hAnsi="Times New Roman" w:cs="Times New Roman"/>
              </w:rPr>
            </w:pPr>
            <w:r w:rsidRPr="00823BB6">
              <w:rPr>
                <w:rFonts w:ascii="Times New Roman" w:hAnsi="Times New Roman" w:cs="Times New Roman"/>
                <w:b/>
              </w:rPr>
              <w:t xml:space="preserve">3. </w:t>
            </w:r>
            <w:r w:rsidRPr="00823BB6">
              <w:rPr>
                <w:rFonts w:ascii="Times New Roman" w:eastAsia="Times New Roman" w:hAnsi="Times New Roman" w:cs="Times New Roman"/>
                <w:color w:val="000000"/>
              </w:rPr>
              <w:t>Baye and Jansen Chapter 5 (p. 153-161)</w:t>
            </w:r>
          </w:p>
        </w:tc>
        <w:tc>
          <w:tcPr>
            <w:tcW w:w="2268" w:type="dxa"/>
          </w:tcPr>
          <w:p w:rsidR="00801BDB" w:rsidRPr="00823BB6" w:rsidRDefault="0014355F" w:rsidP="0080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 w:rsidR="00801BDB" w:rsidRPr="00823BB6">
              <w:rPr>
                <w:rFonts w:ascii="Times New Roman" w:hAnsi="Times New Roman" w:cs="Times New Roman"/>
              </w:rPr>
              <w:t xml:space="preserve"> - Week 3</w:t>
            </w:r>
          </w:p>
        </w:tc>
        <w:tc>
          <w:tcPr>
            <w:tcW w:w="2551" w:type="dxa"/>
            <w:vMerge/>
          </w:tcPr>
          <w:p w:rsidR="001352BA" w:rsidRDefault="001352BA"/>
        </w:tc>
      </w:tr>
      <w:tr w:rsidR="001352BA" w:rsidTr="00540A83">
        <w:tc>
          <w:tcPr>
            <w:tcW w:w="4957" w:type="dxa"/>
          </w:tcPr>
          <w:p w:rsidR="001352BA" w:rsidRPr="00823BB6" w:rsidRDefault="00450EFB" w:rsidP="00450EFB">
            <w:pPr>
              <w:pStyle w:val="normal0"/>
              <w:rPr>
                <w:rFonts w:ascii="Times New Roman" w:hAnsi="Times New Roman" w:cs="Times New Roman"/>
                <w:color w:val="000000"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 w:rsidRPr="00823BB6">
              <w:rPr>
                <w:rFonts w:ascii="Times New Roman" w:eastAsia="Times New Roman" w:hAnsi="Times New Roman" w:cs="Times New Roman"/>
                <w:color w:val="000000"/>
              </w:rPr>
              <w:t>Fabozzi et al. Chapter 2 (p. 21-27)</w:t>
            </w:r>
          </w:p>
        </w:tc>
        <w:tc>
          <w:tcPr>
            <w:tcW w:w="2268" w:type="dxa"/>
          </w:tcPr>
          <w:p w:rsidR="001352BA" w:rsidRPr="00823BB6" w:rsidRDefault="0014355F" w:rsidP="0080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 w:rsidR="00801BDB" w:rsidRPr="00823BB6">
              <w:rPr>
                <w:rFonts w:ascii="Times New Roman" w:hAnsi="Times New Roman" w:cs="Times New Roman"/>
              </w:rPr>
              <w:t xml:space="preserve"> – Week 4</w:t>
            </w:r>
          </w:p>
        </w:tc>
        <w:tc>
          <w:tcPr>
            <w:tcW w:w="2551" w:type="dxa"/>
            <w:vMerge/>
          </w:tcPr>
          <w:p w:rsidR="001352BA" w:rsidRDefault="001352BA"/>
        </w:tc>
      </w:tr>
      <w:tr w:rsidR="00450EFB" w:rsidTr="00540A83">
        <w:tc>
          <w:tcPr>
            <w:tcW w:w="4957" w:type="dxa"/>
          </w:tcPr>
          <w:p w:rsidR="00450EFB" w:rsidRPr="00823BB6" w:rsidRDefault="00450EFB" w:rsidP="00003364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823BB6">
              <w:rPr>
                <w:rFonts w:ascii="Times New Roman" w:hAnsi="Times New Roman" w:cs="Times New Roman"/>
                <w:b/>
              </w:rPr>
              <w:t>b) Money and Capital Markets; Organization, Structure and Reforms in India; Role of Financial Derivatives and Other Innovations</w:t>
            </w:r>
          </w:p>
          <w:p w:rsidR="00450EFB" w:rsidRPr="00823BB6" w:rsidRDefault="00450EFB" w:rsidP="00003364">
            <w:pPr>
              <w:pStyle w:val="normal0"/>
              <w:rPr>
                <w:rFonts w:ascii="Times New Roman" w:hAnsi="Times New Roman" w:cs="Times New Roman"/>
                <w:b/>
              </w:rPr>
            </w:pPr>
          </w:p>
          <w:p w:rsidR="00450EFB" w:rsidRPr="00823BB6" w:rsidRDefault="00450EFB" w:rsidP="00450EFB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1. M Y Khan Chapter 9 (9.29-9.32) </w:t>
            </w:r>
          </w:p>
        </w:tc>
        <w:tc>
          <w:tcPr>
            <w:tcW w:w="2268" w:type="dxa"/>
          </w:tcPr>
          <w:p w:rsidR="00450EFB" w:rsidRPr="00823BB6" w:rsidRDefault="00450EF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 w:rsidP="0014355F">
            <w:pPr>
              <w:rPr>
                <w:rFonts w:ascii="Times New Roman" w:hAnsi="Times New Roman" w:cs="Times New Roman"/>
              </w:rPr>
            </w:pPr>
            <w:r w:rsidRPr="00823BB6">
              <w:rPr>
                <w:rFonts w:ascii="Times New Roman" w:hAnsi="Times New Roman" w:cs="Times New Roman"/>
              </w:rPr>
              <w:t xml:space="preserve">September – Week </w:t>
            </w:r>
            <w:r w:rsidR="00143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:rsidR="00450EFB" w:rsidRDefault="00450EFB"/>
        </w:tc>
      </w:tr>
      <w:tr w:rsidR="00450EFB" w:rsidTr="00540A83">
        <w:tc>
          <w:tcPr>
            <w:tcW w:w="4957" w:type="dxa"/>
          </w:tcPr>
          <w:p w:rsidR="00450EFB" w:rsidRPr="00823BB6" w:rsidRDefault="00450EFB" w:rsidP="00450EFB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2. Bhole Chapter 5 (p. 137-146) </w:t>
            </w:r>
          </w:p>
          <w:p w:rsidR="00450EFB" w:rsidRPr="00823BB6" w:rsidRDefault="00450EFB" w:rsidP="00450EFB">
            <w:pPr>
              <w:pStyle w:val="normal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450EFB" w:rsidRPr="00823BB6" w:rsidRDefault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 w:rsidR="00801BDB" w:rsidRPr="00823BB6">
              <w:rPr>
                <w:rFonts w:ascii="Times New Roman" w:hAnsi="Times New Roman" w:cs="Times New Roman"/>
              </w:rPr>
              <w:t xml:space="preserve"> – Week 1</w:t>
            </w:r>
          </w:p>
        </w:tc>
        <w:tc>
          <w:tcPr>
            <w:tcW w:w="2551" w:type="dxa"/>
            <w:vMerge/>
          </w:tcPr>
          <w:p w:rsidR="00450EFB" w:rsidRDefault="00450EFB"/>
        </w:tc>
      </w:tr>
      <w:tr w:rsidR="00450EFB" w:rsidTr="00540A83">
        <w:tc>
          <w:tcPr>
            <w:tcW w:w="4957" w:type="dxa"/>
          </w:tcPr>
          <w:p w:rsidR="00450EFB" w:rsidRPr="00823BB6" w:rsidRDefault="00450EFB" w:rsidP="00450EFB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 Fabozzi et al Chapter</w:t>
            </w:r>
            <w:r w:rsidR="00801BDB"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26 (p. 496 -504) </w:t>
            </w:r>
          </w:p>
          <w:p w:rsidR="00450EFB" w:rsidRPr="00823BB6" w:rsidRDefault="00450EFB" w:rsidP="00450EFB">
            <w:pPr>
              <w:pStyle w:val="normal0"/>
              <w:rPr>
                <w:rFonts w:ascii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>Chapter</w:t>
            </w:r>
            <w:r w:rsidR="00801BDB"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3BB6">
              <w:rPr>
                <w:rFonts w:ascii="Times New Roman" w:eastAsia="Times New Roman" w:hAnsi="Times New Roman" w:cs="Times New Roman"/>
                <w:color w:val="000000"/>
              </w:rPr>
              <w:t>27 (p. 517-529)</w:t>
            </w:r>
            <w:r w:rsidR="0014355F">
              <w:rPr>
                <w:rFonts w:ascii="Times New Roman" w:eastAsia="Times New Roman" w:hAnsi="Times New Roman" w:cs="Times New Roman"/>
                <w:color w:val="000000"/>
              </w:rPr>
              <w:t xml:space="preserve"> &amp; Chapter 30</w:t>
            </w: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3B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450EFB" w:rsidRPr="00823BB6" w:rsidRDefault="00BC172E" w:rsidP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 w:rsidR="00801BDB" w:rsidRPr="00823BB6">
              <w:rPr>
                <w:rFonts w:ascii="Times New Roman" w:hAnsi="Times New Roman" w:cs="Times New Roman"/>
              </w:rPr>
              <w:t xml:space="preserve"> – Week </w:t>
            </w:r>
            <w:r w:rsidR="0014355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51" w:type="dxa"/>
            <w:vMerge/>
          </w:tcPr>
          <w:p w:rsidR="00450EFB" w:rsidRDefault="00450EFB"/>
        </w:tc>
      </w:tr>
      <w:tr w:rsidR="00450EFB" w:rsidTr="00540A83">
        <w:tc>
          <w:tcPr>
            <w:tcW w:w="4957" w:type="dxa"/>
          </w:tcPr>
          <w:p w:rsidR="00450EFB" w:rsidRPr="00823BB6" w:rsidRDefault="00450EFB" w:rsidP="00450EFB">
            <w:pPr>
              <w:pStyle w:val="normal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450EFB" w:rsidRPr="00823BB6" w:rsidRDefault="00450EFB" w:rsidP="00450EF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t xml:space="preserve">Unit – 3 </w:t>
            </w:r>
            <w:r w:rsidRPr="00823BB6">
              <w:rPr>
                <w:rFonts w:ascii="Times New Roman" w:eastAsia="Times New Roman" w:hAnsi="Times New Roman" w:cs="Times New Roman"/>
                <w:b/>
                <w:color w:val="000000"/>
              </w:rPr>
              <w:t>INTEREST RATES: Determination, Sources of interest rates differentials, Theories of term structure of interest rates ; interest rates in India</w:t>
            </w:r>
          </w:p>
          <w:p w:rsidR="00450EFB" w:rsidRPr="00823BB6" w:rsidRDefault="00450EFB" w:rsidP="00450EFB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56455" w:rsidRPr="00823BB6" w:rsidRDefault="00556455" w:rsidP="00556455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1. Baye &amp; Jansen, Chapter 10 </w:t>
            </w:r>
          </w:p>
          <w:p w:rsidR="00450EFB" w:rsidRPr="00823BB6" w:rsidRDefault="00450EFB" w:rsidP="00450EFB">
            <w:pPr>
              <w:pStyle w:val="normal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450EFB" w:rsidRPr="00823BB6" w:rsidRDefault="00450EF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14355F" w:rsidP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</w:t>
            </w:r>
            <w:r w:rsidR="00801BDB" w:rsidRPr="00823BB6">
              <w:rPr>
                <w:rFonts w:ascii="Times New Roman" w:hAnsi="Times New Roman" w:cs="Times New Roman"/>
              </w:rPr>
              <w:t xml:space="preserve">ber – Week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/>
          </w:tcPr>
          <w:p w:rsidR="00450EFB" w:rsidRDefault="00450EFB"/>
        </w:tc>
      </w:tr>
      <w:tr w:rsidR="00450EFB" w:rsidTr="00540A83">
        <w:tc>
          <w:tcPr>
            <w:tcW w:w="4957" w:type="dxa"/>
          </w:tcPr>
          <w:p w:rsidR="00450EFB" w:rsidRPr="00823BB6" w:rsidRDefault="00556455" w:rsidP="00556455">
            <w:pPr>
              <w:pStyle w:val="normal0"/>
              <w:rPr>
                <w:rFonts w:ascii="Times New Roman" w:hAnsi="Times New Roman" w:cs="Times New Roman"/>
                <w:color w:val="000000"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2. </w:t>
            </w:r>
            <w:r w:rsidRPr="00823BB6">
              <w:rPr>
                <w:rFonts w:ascii="Times New Roman" w:hAnsi="Times New Roman" w:cs="Times New Roman"/>
                <w:color w:val="000000"/>
              </w:rPr>
              <w:t>RBI Report October 4, 2017 Report of the Internal Study Group Chapter 1 (pp 1-2) Chapter 2 (pp 5-7)</w:t>
            </w:r>
          </w:p>
        </w:tc>
        <w:tc>
          <w:tcPr>
            <w:tcW w:w="2268" w:type="dxa"/>
          </w:tcPr>
          <w:p w:rsidR="00450EFB" w:rsidRPr="00823BB6" w:rsidRDefault="0014355F" w:rsidP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</w:t>
            </w:r>
            <w:r w:rsidR="00801BDB" w:rsidRPr="00823BB6">
              <w:rPr>
                <w:rFonts w:ascii="Times New Roman" w:hAnsi="Times New Roman" w:cs="Times New Roman"/>
              </w:rPr>
              <w:t>ber – Week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801BDB" w:rsidRPr="00823B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Merge/>
          </w:tcPr>
          <w:p w:rsidR="00450EFB" w:rsidRDefault="00450EFB"/>
        </w:tc>
      </w:tr>
      <w:tr w:rsidR="00450EFB" w:rsidRPr="00556455" w:rsidTr="00540A83">
        <w:tc>
          <w:tcPr>
            <w:tcW w:w="4957" w:type="dxa"/>
          </w:tcPr>
          <w:p w:rsidR="00556455" w:rsidRPr="00823BB6" w:rsidRDefault="00556455" w:rsidP="00556455">
            <w:pPr>
              <w:pStyle w:val="normal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56455" w:rsidRPr="00823BB6" w:rsidRDefault="00556455" w:rsidP="00556455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t>Unit – 4</w:t>
            </w:r>
            <w:r w:rsidR="002F553D" w:rsidRPr="00823B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23B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82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BANKING SYSTEM: </w:t>
            </w:r>
          </w:p>
          <w:p w:rsidR="00556455" w:rsidRPr="00823BB6" w:rsidRDefault="00556455" w:rsidP="00556455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a) Balance Sheet and Portfolio Management </w:t>
            </w:r>
          </w:p>
          <w:p w:rsidR="00556455" w:rsidRPr="00823BB6" w:rsidRDefault="00556455" w:rsidP="0055645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b/>
                <w:color w:val="000000"/>
              </w:rPr>
              <w:t>b) Indian Banking System. Changing Role and Structure, Banking Sector Reforms</w:t>
            </w:r>
          </w:p>
          <w:p w:rsidR="00556455" w:rsidRPr="00823BB6" w:rsidRDefault="00556455" w:rsidP="00556455">
            <w:pPr>
              <w:rPr>
                <w:rFonts w:ascii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 Sengupta and Vardhan, Non performing Assets in Indian Banks, EPW, March, 2017</w:t>
            </w:r>
          </w:p>
        </w:tc>
        <w:tc>
          <w:tcPr>
            <w:tcW w:w="2268" w:type="dxa"/>
          </w:tcPr>
          <w:p w:rsidR="00450EFB" w:rsidRPr="00823BB6" w:rsidRDefault="00450EF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</w:t>
            </w:r>
            <w:r w:rsidR="00801BDB" w:rsidRPr="00823BB6">
              <w:rPr>
                <w:rFonts w:ascii="Times New Roman" w:hAnsi="Times New Roman" w:cs="Times New Roman"/>
              </w:rPr>
              <w:t xml:space="preserve">ber – Week </w:t>
            </w:r>
            <w:r>
              <w:rPr>
                <w:rFonts w:ascii="Times New Roman" w:hAnsi="Times New Roman" w:cs="Times New Roman"/>
              </w:rPr>
              <w:t>4</w:t>
            </w:r>
            <w:r w:rsidR="00801BDB" w:rsidRPr="00823BB6">
              <w:rPr>
                <w:rFonts w:ascii="Times New Roman" w:hAnsi="Times New Roman" w:cs="Times New Roman"/>
              </w:rPr>
              <w:t xml:space="preserve"> </w:t>
            </w: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50EFB" w:rsidRPr="00556455" w:rsidRDefault="00450EFB"/>
        </w:tc>
      </w:tr>
      <w:tr w:rsidR="00556455" w:rsidRPr="00556455" w:rsidTr="00540A83">
        <w:tc>
          <w:tcPr>
            <w:tcW w:w="4957" w:type="dxa"/>
          </w:tcPr>
          <w:p w:rsidR="00556455" w:rsidRPr="00823BB6" w:rsidRDefault="00556455" w:rsidP="00556455">
            <w:pPr>
              <w:pStyle w:val="normal0"/>
              <w:rPr>
                <w:rFonts w:ascii="Times New Roman" w:hAnsi="Times New Roman" w:cs="Times New Roman"/>
                <w:color w:val="000000"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Pr="00823BB6">
              <w:rPr>
                <w:rFonts w:ascii="Times New Roman" w:hAnsi="Times New Roman" w:cs="Times New Roman"/>
                <w:color w:val="000000"/>
              </w:rPr>
              <w:t xml:space="preserve"> RBI Glossary Master Circular – Prudential Norms on Capital Adequacy</w:t>
            </w:r>
            <w:r w:rsidR="002F553D" w:rsidRPr="00823BB6">
              <w:rPr>
                <w:rFonts w:ascii="Times New Roman" w:hAnsi="Times New Roman" w:cs="Times New Roman"/>
                <w:color w:val="000000"/>
              </w:rPr>
              <w:t xml:space="preserve"> July 2, 2012</w:t>
            </w:r>
            <w:r w:rsidRPr="00823BB6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268" w:type="dxa"/>
          </w:tcPr>
          <w:p w:rsidR="00556455" w:rsidRPr="00823BB6" w:rsidRDefault="0014355F" w:rsidP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</w:t>
            </w:r>
            <w:r w:rsidR="00B97D65" w:rsidRPr="00823BB6">
              <w:rPr>
                <w:rFonts w:ascii="Times New Roman" w:hAnsi="Times New Roman" w:cs="Times New Roman"/>
              </w:rPr>
              <w:t>b</w:t>
            </w:r>
            <w:r w:rsidR="00801BDB" w:rsidRPr="00823BB6">
              <w:rPr>
                <w:rFonts w:ascii="Times New Roman" w:hAnsi="Times New Roman" w:cs="Times New Roman"/>
              </w:rPr>
              <w:t xml:space="preserve">er – Week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556455" w:rsidRPr="00556455" w:rsidRDefault="00556455"/>
        </w:tc>
      </w:tr>
      <w:tr w:rsidR="00556455" w:rsidRPr="00556455" w:rsidTr="00540A83">
        <w:tc>
          <w:tcPr>
            <w:tcW w:w="4957" w:type="dxa"/>
          </w:tcPr>
          <w:p w:rsidR="00556455" w:rsidRPr="00823BB6" w:rsidRDefault="002F553D" w:rsidP="002F553D">
            <w:pPr>
              <w:pStyle w:val="normal0"/>
              <w:rPr>
                <w:rFonts w:ascii="Times New Roman" w:hAnsi="Times New Roman" w:cs="Times New Roman"/>
                <w:color w:val="000000"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t>3.</w:t>
            </w:r>
            <w:r w:rsidRPr="00823BB6">
              <w:rPr>
                <w:rFonts w:ascii="Times New Roman" w:hAnsi="Times New Roman" w:cs="Times New Roman"/>
                <w:color w:val="000000"/>
              </w:rPr>
              <w:t xml:space="preserve"> RBI Bulletin, October 2012, Basel III in International and Indian context  by D Subbarao</w:t>
            </w:r>
          </w:p>
        </w:tc>
        <w:tc>
          <w:tcPr>
            <w:tcW w:w="2268" w:type="dxa"/>
          </w:tcPr>
          <w:p w:rsidR="00556455" w:rsidRPr="00823BB6" w:rsidRDefault="00B97D65" w:rsidP="0014355F">
            <w:pPr>
              <w:rPr>
                <w:rFonts w:ascii="Times New Roman" w:hAnsi="Times New Roman" w:cs="Times New Roman"/>
              </w:rPr>
            </w:pPr>
            <w:r w:rsidRPr="00823BB6">
              <w:rPr>
                <w:rFonts w:ascii="Times New Roman" w:hAnsi="Times New Roman" w:cs="Times New Roman"/>
              </w:rPr>
              <w:t>Octo</w:t>
            </w:r>
            <w:r w:rsidR="00801BDB" w:rsidRPr="00823BB6">
              <w:rPr>
                <w:rFonts w:ascii="Times New Roman" w:hAnsi="Times New Roman" w:cs="Times New Roman"/>
              </w:rPr>
              <w:t xml:space="preserve">ber – Week </w:t>
            </w:r>
            <w:r w:rsidR="00143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56455" w:rsidRPr="00556455" w:rsidRDefault="00556455"/>
        </w:tc>
      </w:tr>
      <w:tr w:rsidR="002F553D" w:rsidRPr="00556455" w:rsidTr="00540A83">
        <w:tc>
          <w:tcPr>
            <w:tcW w:w="4957" w:type="dxa"/>
          </w:tcPr>
          <w:p w:rsidR="002F553D" w:rsidRPr="00823BB6" w:rsidRDefault="002F553D" w:rsidP="00003364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F553D" w:rsidRPr="00823BB6" w:rsidRDefault="002F553D" w:rsidP="00003364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Unit – 5 CENTRAL BANKING AND MONETARY POLICY </w:t>
            </w:r>
          </w:p>
          <w:p w:rsidR="002F553D" w:rsidRPr="00823BB6" w:rsidRDefault="002F553D" w:rsidP="00003364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823BB6">
              <w:rPr>
                <w:rFonts w:ascii="Times New Roman" w:eastAsia="Times New Roman" w:hAnsi="Times New Roman" w:cs="Times New Roman"/>
                <w:b/>
                <w:color w:val="000000"/>
              </w:rPr>
              <w:t>Functions, Balance Sheet Goals, Targets, Indicators and instruments of monetary</w:t>
            </w:r>
            <w:r w:rsidRPr="00823BB6">
              <w:rPr>
                <w:rFonts w:ascii="Times New Roman" w:hAnsi="Times New Roman" w:cs="Times New Roman"/>
                <w:b/>
              </w:rPr>
              <w:t>control, monetary management in an open economy, current monetary policy of India</w:t>
            </w:r>
          </w:p>
          <w:p w:rsidR="002F553D" w:rsidRPr="00823BB6" w:rsidRDefault="002F553D" w:rsidP="00003364">
            <w:pPr>
              <w:pStyle w:val="normal0"/>
              <w:rPr>
                <w:rFonts w:ascii="Times New Roman" w:hAnsi="Times New Roman" w:cs="Times New Roman"/>
                <w:b/>
              </w:rPr>
            </w:pPr>
          </w:p>
          <w:p w:rsidR="002F553D" w:rsidRPr="00823BB6" w:rsidRDefault="002F553D" w:rsidP="002F553D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1. Baye &amp; Jansen Chapter 19 (p. 666-687, 692-693, 697-705) </w:t>
            </w:r>
          </w:p>
        </w:tc>
        <w:tc>
          <w:tcPr>
            <w:tcW w:w="2268" w:type="dxa"/>
          </w:tcPr>
          <w:p w:rsidR="002F553D" w:rsidRPr="00823BB6" w:rsidRDefault="002F553D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14355F" w:rsidP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</w:t>
            </w:r>
            <w:r w:rsidR="00801BDB" w:rsidRPr="00823BB6">
              <w:rPr>
                <w:rFonts w:ascii="Times New Roman" w:hAnsi="Times New Roman" w:cs="Times New Roman"/>
              </w:rPr>
              <w:t xml:space="preserve">er – Week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2F553D" w:rsidRPr="00556455" w:rsidRDefault="002F553D"/>
        </w:tc>
      </w:tr>
      <w:tr w:rsidR="002F553D" w:rsidRPr="00556455" w:rsidTr="00540A83">
        <w:tc>
          <w:tcPr>
            <w:tcW w:w="4957" w:type="dxa"/>
          </w:tcPr>
          <w:p w:rsidR="002F553D" w:rsidRPr="00823BB6" w:rsidRDefault="002F553D" w:rsidP="002F553D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2. Jadhav Chapter 9 (section 9.3.4) </w:t>
            </w:r>
          </w:p>
          <w:p w:rsidR="002F553D" w:rsidRPr="00823BB6" w:rsidRDefault="002F553D" w:rsidP="002F553D">
            <w:pPr>
              <w:pStyle w:val="normal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2F553D" w:rsidRPr="00823BB6" w:rsidRDefault="0014355F" w:rsidP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</w:t>
            </w:r>
            <w:r w:rsidR="00801BDB" w:rsidRPr="00823BB6">
              <w:rPr>
                <w:rFonts w:ascii="Times New Roman" w:hAnsi="Times New Roman" w:cs="Times New Roman"/>
              </w:rPr>
              <w:t xml:space="preserve">ber – Week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2F553D" w:rsidRPr="00556455" w:rsidRDefault="002F553D"/>
        </w:tc>
      </w:tr>
      <w:tr w:rsidR="002F553D" w:rsidRPr="00556455" w:rsidTr="00540A83">
        <w:tc>
          <w:tcPr>
            <w:tcW w:w="4957" w:type="dxa"/>
          </w:tcPr>
          <w:p w:rsidR="002F553D" w:rsidRPr="00823BB6" w:rsidRDefault="002F553D" w:rsidP="002F553D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>3. M.Y.Khan Chapter 9 (9.1 - 9.10, 9.12-9.13)</w:t>
            </w:r>
          </w:p>
          <w:p w:rsidR="002F553D" w:rsidRPr="00823BB6" w:rsidRDefault="002F553D" w:rsidP="002F553D">
            <w:pPr>
              <w:pStyle w:val="normal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2F553D" w:rsidRPr="00823BB6" w:rsidRDefault="0014355F" w:rsidP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</w:t>
            </w:r>
            <w:r w:rsidR="00801BDB" w:rsidRPr="00823BB6">
              <w:rPr>
                <w:rFonts w:ascii="Times New Roman" w:hAnsi="Times New Roman" w:cs="Times New Roman"/>
              </w:rPr>
              <w:t xml:space="preserve">ber – Week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2F553D" w:rsidRPr="00556455" w:rsidRDefault="002F553D"/>
        </w:tc>
      </w:tr>
      <w:tr w:rsidR="00CA6D95" w:rsidRPr="00556455" w:rsidTr="00540A83">
        <w:tc>
          <w:tcPr>
            <w:tcW w:w="4957" w:type="dxa"/>
          </w:tcPr>
          <w:p w:rsidR="00CA6D95" w:rsidRPr="00823BB6" w:rsidRDefault="00CA6D95" w:rsidP="002F553D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 w:rsidRPr="00823BB6">
              <w:rPr>
                <w:rFonts w:ascii="Times New Roman" w:hAnsi="Times New Roman" w:cs="Times New Roman"/>
                <w:color w:val="000000"/>
              </w:rPr>
              <w:t xml:space="preserve">P. Dua, Moneatry policy framework in India, Indian Economic Review, Vol - 55, Issue 1, June 2020     </w:t>
            </w:r>
          </w:p>
        </w:tc>
        <w:tc>
          <w:tcPr>
            <w:tcW w:w="2268" w:type="dxa"/>
          </w:tcPr>
          <w:p w:rsidR="00CA6D95" w:rsidRPr="00823BB6" w:rsidRDefault="0014355F" w:rsidP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</w:t>
            </w:r>
            <w:r w:rsidR="00801BDB" w:rsidRPr="00823BB6">
              <w:rPr>
                <w:rFonts w:ascii="Times New Roman" w:hAnsi="Times New Roman" w:cs="Times New Roman"/>
              </w:rPr>
              <w:t xml:space="preserve">ber – Week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CA6D95" w:rsidRPr="00556455" w:rsidRDefault="00CA6D95"/>
        </w:tc>
      </w:tr>
      <w:tr w:rsidR="00CA6D95" w:rsidRPr="00556455" w:rsidTr="00540A83">
        <w:tc>
          <w:tcPr>
            <w:tcW w:w="4957" w:type="dxa"/>
          </w:tcPr>
          <w:p w:rsidR="00CA6D95" w:rsidRPr="00823BB6" w:rsidRDefault="00CA6D95" w:rsidP="00CA6D95">
            <w:pPr>
              <w:pStyle w:val="normal0"/>
              <w:rPr>
                <w:rFonts w:ascii="Times New Roman" w:hAnsi="Times New Roman" w:cs="Times New Roman"/>
                <w:b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>5. Annual Report of RBI 2015 -16 Chapter 3: Box III.1 and III.2 (p. 44, p.50)</w:t>
            </w:r>
          </w:p>
        </w:tc>
        <w:tc>
          <w:tcPr>
            <w:tcW w:w="2268" w:type="dxa"/>
          </w:tcPr>
          <w:p w:rsidR="00CA6D95" w:rsidRPr="00823BB6" w:rsidRDefault="0014355F" w:rsidP="00143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</w:t>
            </w:r>
            <w:r w:rsidR="00801BDB" w:rsidRPr="00823BB6">
              <w:rPr>
                <w:rFonts w:ascii="Times New Roman" w:hAnsi="Times New Roman" w:cs="Times New Roman"/>
              </w:rPr>
              <w:t>er – Week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="00801BDB" w:rsidRPr="00823B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CA6D95" w:rsidRPr="00556455" w:rsidRDefault="00CA6D95"/>
        </w:tc>
      </w:tr>
      <w:tr w:rsidR="00CA6D95" w:rsidRPr="00556455" w:rsidTr="00540A83">
        <w:tc>
          <w:tcPr>
            <w:tcW w:w="4957" w:type="dxa"/>
          </w:tcPr>
          <w:p w:rsidR="00CA6D95" w:rsidRPr="00823BB6" w:rsidRDefault="00CA6D95" w:rsidP="00CA6D95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eastAsia="Times New Roman" w:hAnsi="Times New Roman" w:cs="Times New Roman"/>
                <w:color w:val="000000"/>
              </w:rPr>
              <w:t xml:space="preserve">6. Annual Report of RBI 2016 -17 Chapter 3 </w:t>
            </w:r>
          </w:p>
          <w:p w:rsidR="00CA6D95" w:rsidRPr="00823BB6" w:rsidRDefault="00CA6D95" w:rsidP="00CA6D95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A6D95" w:rsidRPr="00823BB6" w:rsidRDefault="00801BDB" w:rsidP="0014355F">
            <w:pPr>
              <w:rPr>
                <w:rFonts w:ascii="Times New Roman" w:hAnsi="Times New Roman" w:cs="Times New Roman"/>
              </w:rPr>
            </w:pPr>
            <w:r w:rsidRPr="00823BB6">
              <w:rPr>
                <w:rFonts w:ascii="Times New Roman" w:hAnsi="Times New Roman" w:cs="Times New Roman"/>
              </w:rPr>
              <w:t xml:space="preserve">November – Week </w:t>
            </w:r>
            <w:r w:rsidR="00143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CA6D95" w:rsidRPr="00556455" w:rsidRDefault="00CA6D95"/>
        </w:tc>
      </w:tr>
      <w:tr w:rsidR="002F553D" w:rsidRPr="00556455" w:rsidTr="00540A83">
        <w:tc>
          <w:tcPr>
            <w:tcW w:w="4957" w:type="dxa"/>
          </w:tcPr>
          <w:p w:rsidR="00CA6D95" w:rsidRPr="00823BB6" w:rsidRDefault="00CA6D95" w:rsidP="00CA6D95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 w:rsidRPr="00823BB6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Pr="00823BB6">
              <w:rPr>
                <w:rFonts w:ascii="Times New Roman" w:eastAsia="Times New Roman" w:hAnsi="Times New Roman" w:cs="Times New Roman"/>
                <w:color w:val="000000"/>
              </w:rPr>
              <w:t>. Monetary Policy https://www.rbi.org.in/scripts/FS_Overview.aspx?fn=2752</w:t>
            </w:r>
          </w:p>
          <w:p w:rsidR="002F553D" w:rsidRPr="00823BB6" w:rsidRDefault="002F553D" w:rsidP="002F553D">
            <w:pPr>
              <w:pStyle w:val="normal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2F553D" w:rsidRPr="00823BB6" w:rsidRDefault="002F553D">
            <w:pPr>
              <w:rPr>
                <w:rFonts w:ascii="Times New Roman" w:hAnsi="Times New Roman" w:cs="Times New Roman"/>
              </w:rPr>
            </w:pPr>
          </w:p>
          <w:p w:rsidR="00801BDB" w:rsidRPr="00823BB6" w:rsidRDefault="00801BDB" w:rsidP="0014355F">
            <w:pPr>
              <w:rPr>
                <w:rFonts w:ascii="Times New Roman" w:hAnsi="Times New Roman" w:cs="Times New Roman"/>
              </w:rPr>
            </w:pPr>
            <w:r w:rsidRPr="00823BB6">
              <w:rPr>
                <w:rFonts w:ascii="Times New Roman" w:hAnsi="Times New Roman" w:cs="Times New Roman"/>
              </w:rPr>
              <w:t xml:space="preserve">November – Week </w:t>
            </w:r>
            <w:r w:rsidR="00143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97D65" w:rsidRPr="00823BB6" w:rsidRDefault="00B97D65">
            <w:pPr>
              <w:rPr>
                <w:rFonts w:ascii="Times New Roman" w:hAnsi="Times New Roman" w:cs="Times New Roman"/>
              </w:rPr>
            </w:pPr>
            <w:r w:rsidRPr="00823BB6">
              <w:rPr>
                <w:rFonts w:ascii="Times New Roman" w:hAnsi="Times New Roman" w:cs="Times New Roman"/>
              </w:rPr>
              <w:t xml:space="preserve">November – Week </w:t>
            </w:r>
            <w:r w:rsidR="0014355F">
              <w:rPr>
                <w:rFonts w:ascii="Times New Roman" w:hAnsi="Times New Roman" w:cs="Times New Roman"/>
              </w:rPr>
              <w:t>2</w:t>
            </w:r>
          </w:p>
          <w:p w:rsidR="00B97D65" w:rsidRPr="00823BB6" w:rsidRDefault="00B97D65">
            <w:pPr>
              <w:rPr>
                <w:rFonts w:ascii="Times New Roman" w:hAnsi="Times New Roman" w:cs="Times New Roman"/>
              </w:rPr>
            </w:pPr>
            <w:r w:rsidRPr="00823BB6">
              <w:rPr>
                <w:rFonts w:ascii="Times New Roman" w:hAnsi="Times New Roman" w:cs="Times New Roman"/>
              </w:rPr>
              <w:t>Revision</w:t>
            </w:r>
          </w:p>
          <w:p w:rsidR="00B97D65" w:rsidRPr="00556455" w:rsidRDefault="00B97D65"/>
        </w:tc>
      </w:tr>
    </w:tbl>
    <w:p w:rsidR="004C452B" w:rsidRPr="00423211" w:rsidRDefault="004C452B" w:rsidP="004C452B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t>References</w:t>
      </w:r>
    </w:p>
    <w:p w:rsidR="00DD594F" w:rsidRPr="00DD594F" w:rsidRDefault="00481B12" w:rsidP="00DD594F">
      <w:pPr>
        <w:pStyle w:val="normal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Pr="00DD594F">
        <w:rPr>
          <w:rFonts w:ascii="Times New Roman" w:hAnsi="Times New Roman" w:cs="Times New Roman"/>
          <w:b/>
        </w:rPr>
        <w:t>.</w:t>
      </w:r>
      <w:r w:rsidR="00DD594F" w:rsidRPr="00DD594F">
        <w:rPr>
          <w:rFonts w:ascii="Times New Roman" w:eastAsia="Times New Roman" w:hAnsi="Times New Roman" w:cs="Times New Roman"/>
          <w:color w:val="000000"/>
        </w:rPr>
        <w:t xml:space="preserve">  F.S.Mishkin and S.G. Eakins Financial Markets and Institutions, Pearson Education, 6 </w:t>
      </w:r>
      <w:proofErr w:type="gramStart"/>
      <w:r w:rsidR="00DD594F" w:rsidRPr="00DD594F">
        <w:rPr>
          <w:rFonts w:ascii="Times New Roman" w:eastAsia="Times New Roman" w:hAnsi="Times New Roman" w:cs="Times New Roman"/>
          <w:color w:val="000000"/>
        </w:rPr>
        <w:t>th</w:t>
      </w:r>
      <w:proofErr w:type="gramEnd"/>
      <w:r w:rsidR="00DD594F" w:rsidRPr="00DD594F">
        <w:rPr>
          <w:rFonts w:ascii="Times New Roman" w:eastAsia="Times New Roman" w:hAnsi="Times New Roman" w:cs="Times New Roman"/>
          <w:color w:val="000000"/>
        </w:rPr>
        <w:t xml:space="preserve"> Edition, 2011 </w:t>
      </w:r>
    </w:p>
    <w:p w:rsidR="00DD594F" w:rsidRPr="00DD594F" w:rsidRDefault="00DD594F" w:rsidP="00DD594F">
      <w:pPr>
        <w:pStyle w:val="normal0"/>
        <w:rPr>
          <w:rFonts w:ascii="Times New Roman" w:eastAsia="Times New Roman" w:hAnsi="Times New Roman" w:cs="Times New Roman"/>
          <w:color w:val="000000"/>
        </w:rPr>
      </w:pPr>
      <w:r w:rsidRPr="00DD594F">
        <w:rPr>
          <w:rFonts w:ascii="Times New Roman" w:eastAsia="Times New Roman" w:hAnsi="Times New Roman" w:cs="Times New Roman"/>
          <w:color w:val="000000"/>
        </w:rPr>
        <w:t>2. F.J .Fabozzi, F.Modigliani, F. J Jones, M.G Ferri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DD594F">
        <w:rPr>
          <w:rFonts w:ascii="Times New Roman" w:eastAsia="Times New Roman" w:hAnsi="Times New Roman" w:cs="Times New Roman"/>
          <w:color w:val="000000"/>
        </w:rPr>
        <w:t xml:space="preserve">Foundations of Financial Markets and Institutions </w:t>
      </w:r>
    </w:p>
    <w:p w:rsidR="00DD594F" w:rsidRPr="00DD594F" w:rsidRDefault="00DD594F" w:rsidP="00DD594F">
      <w:pPr>
        <w:pStyle w:val="normal0"/>
        <w:rPr>
          <w:rFonts w:ascii="Times New Roman" w:eastAsia="Times New Roman" w:hAnsi="Times New Roman" w:cs="Times New Roman"/>
          <w:color w:val="000000"/>
        </w:rPr>
      </w:pPr>
      <w:r w:rsidRPr="00DD594F">
        <w:rPr>
          <w:rFonts w:ascii="Times New Roman" w:eastAsia="Times New Roman" w:hAnsi="Times New Roman" w:cs="Times New Roman"/>
          <w:color w:val="000000"/>
        </w:rPr>
        <w:t xml:space="preserve">Pearson Education, 3rd Edition, 2009 </w:t>
      </w:r>
    </w:p>
    <w:p w:rsidR="00DD594F" w:rsidRPr="00DD594F" w:rsidRDefault="00DD594F" w:rsidP="00DD594F">
      <w:pPr>
        <w:pStyle w:val="normal0"/>
        <w:rPr>
          <w:rFonts w:ascii="Times New Roman" w:eastAsia="Times New Roman" w:hAnsi="Times New Roman" w:cs="Times New Roman"/>
          <w:color w:val="000000"/>
        </w:rPr>
      </w:pPr>
      <w:r w:rsidRPr="00DD594F">
        <w:rPr>
          <w:rFonts w:ascii="Times New Roman" w:eastAsia="Times New Roman" w:hAnsi="Times New Roman" w:cs="Times New Roman"/>
          <w:color w:val="000000"/>
        </w:rPr>
        <w:t xml:space="preserve">3. M.R.Baye and D.W.Jansen Money, Banking and Financial Markets AITBS, 1996 </w:t>
      </w:r>
    </w:p>
    <w:p w:rsidR="00DD594F" w:rsidRPr="00DD594F" w:rsidRDefault="00DD594F" w:rsidP="00DD594F">
      <w:pPr>
        <w:pStyle w:val="normal0"/>
        <w:rPr>
          <w:rFonts w:ascii="Times New Roman" w:eastAsia="Times New Roman" w:hAnsi="Times New Roman" w:cs="Times New Roman"/>
          <w:color w:val="000000"/>
        </w:rPr>
      </w:pPr>
      <w:r w:rsidRPr="00DD594F">
        <w:rPr>
          <w:rFonts w:ascii="Times New Roman" w:eastAsia="Times New Roman" w:hAnsi="Times New Roman" w:cs="Times New Roman"/>
          <w:color w:val="000000"/>
        </w:rPr>
        <w:t>4. L.M .Bhole and J. Mahakud Financial Institutions and Markets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DD594F">
        <w:rPr>
          <w:rFonts w:ascii="Times New Roman" w:eastAsia="Times New Roman" w:hAnsi="Times New Roman" w:cs="Times New Roman"/>
          <w:color w:val="000000"/>
        </w:rPr>
        <w:t xml:space="preserve"> Tata McGraw Hill, 5th Edition, 2011 </w:t>
      </w:r>
    </w:p>
    <w:p w:rsidR="00DD594F" w:rsidRPr="00DD594F" w:rsidRDefault="00DD594F" w:rsidP="00DD594F">
      <w:pPr>
        <w:pStyle w:val="normal0"/>
        <w:rPr>
          <w:rFonts w:ascii="Times New Roman" w:eastAsia="Times New Roman" w:hAnsi="Times New Roman" w:cs="Times New Roman"/>
          <w:color w:val="000000"/>
        </w:rPr>
      </w:pPr>
      <w:r w:rsidRPr="00DD594F">
        <w:rPr>
          <w:rFonts w:ascii="Times New Roman" w:eastAsia="Times New Roman" w:hAnsi="Times New Roman" w:cs="Times New Roman"/>
          <w:color w:val="000000"/>
        </w:rPr>
        <w:t>5. M.Y.Khan Indian Financial System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DD594F">
        <w:rPr>
          <w:rFonts w:ascii="Times New Roman" w:eastAsia="Times New Roman" w:hAnsi="Times New Roman" w:cs="Times New Roman"/>
          <w:color w:val="000000"/>
        </w:rPr>
        <w:t xml:space="preserve">Tata McGraw Hill, 7th Edition 2011 </w:t>
      </w:r>
    </w:p>
    <w:p w:rsidR="00DD594F" w:rsidRPr="00DD594F" w:rsidRDefault="00DD594F" w:rsidP="00DD594F">
      <w:pPr>
        <w:pStyle w:val="normal0"/>
        <w:rPr>
          <w:rFonts w:ascii="Times New Roman" w:eastAsia="Times New Roman" w:hAnsi="Times New Roman" w:cs="Times New Roman"/>
          <w:color w:val="000000"/>
        </w:rPr>
      </w:pPr>
      <w:r w:rsidRPr="00DD594F">
        <w:rPr>
          <w:rFonts w:ascii="Times New Roman" w:eastAsia="Times New Roman" w:hAnsi="Times New Roman" w:cs="Times New Roman"/>
          <w:color w:val="000000"/>
        </w:rPr>
        <w:t>6. N. Jadhav Monetary Policy, Financial Stability and Central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D594F">
        <w:rPr>
          <w:rFonts w:ascii="Times New Roman" w:eastAsia="Times New Roman" w:hAnsi="Times New Roman" w:cs="Times New Roman"/>
          <w:color w:val="000000"/>
        </w:rPr>
        <w:t xml:space="preserve">Banking in India, Macmillan, 2006 </w:t>
      </w:r>
    </w:p>
    <w:p w:rsidR="00DD594F" w:rsidRPr="00DD594F" w:rsidRDefault="00DD594F" w:rsidP="00DD594F">
      <w:pPr>
        <w:pStyle w:val="normal0"/>
        <w:rPr>
          <w:rFonts w:ascii="Times New Roman" w:eastAsia="Times New Roman" w:hAnsi="Times New Roman" w:cs="Times New Roman"/>
          <w:color w:val="000000"/>
        </w:rPr>
      </w:pPr>
      <w:r w:rsidRPr="00DD594F">
        <w:rPr>
          <w:rFonts w:ascii="Times New Roman" w:eastAsia="Times New Roman" w:hAnsi="Times New Roman" w:cs="Times New Roman"/>
          <w:color w:val="000000"/>
        </w:rPr>
        <w:t>7. RBI Report, October 4, 2017 ‘Report of the Internal Study Group to Review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D594F">
        <w:rPr>
          <w:rFonts w:ascii="Times New Roman" w:eastAsia="Times New Roman" w:hAnsi="Times New Roman" w:cs="Times New Roman"/>
          <w:color w:val="000000"/>
        </w:rPr>
        <w:t xml:space="preserve">The Working of the Marginal Cost of Funds Based Lending Rate System’, Reserve Bank of India, September, 2017, https://www.rbi.org.in/Scripts/PublicationReportDetails.aspx?UrlPage=&amp;ID=878 </w:t>
      </w:r>
    </w:p>
    <w:p w:rsidR="00DD594F" w:rsidRPr="00DD594F" w:rsidRDefault="00DD594F" w:rsidP="00DD594F">
      <w:pPr>
        <w:pStyle w:val="normal0"/>
        <w:rPr>
          <w:rFonts w:ascii="Times New Roman" w:eastAsia="Times New Roman" w:hAnsi="Times New Roman" w:cs="Times New Roman"/>
          <w:color w:val="000000"/>
        </w:rPr>
      </w:pPr>
      <w:r w:rsidRPr="00DD594F">
        <w:rPr>
          <w:rFonts w:ascii="Times New Roman" w:eastAsia="Times New Roman" w:hAnsi="Times New Roman" w:cs="Times New Roman"/>
          <w:color w:val="000000"/>
        </w:rPr>
        <w:t xml:space="preserve">8. RBI Report of the Working Group: Money Supply Analytics and Methodology of Compilation, 1998 Annual Report; Master Circular - Prudential Norms on Capital Adequacy - Basel I Framework – 2011; RBI Bulletin; Report of Currency and Finance (latest). </w:t>
      </w:r>
    </w:p>
    <w:p w:rsidR="004C452B" w:rsidRDefault="00DD594F" w:rsidP="00DD594F">
      <w:pPr>
        <w:rPr>
          <w:rFonts w:ascii="Times New Roman" w:eastAsia="Times New Roman" w:hAnsi="Times New Roman" w:cs="Times New Roman"/>
          <w:color w:val="000000"/>
        </w:rPr>
      </w:pPr>
      <w:r w:rsidRPr="00DD594F">
        <w:rPr>
          <w:rFonts w:ascii="Times New Roman" w:eastAsia="Times New Roman" w:hAnsi="Times New Roman" w:cs="Times New Roman"/>
          <w:color w:val="000000"/>
        </w:rPr>
        <w:t xml:space="preserve">9. R. Sengupta and H.Vardhan </w:t>
      </w:r>
      <w:hyperlink r:id="rId6" w:history="1">
        <w:r w:rsidRPr="00DD594F">
          <w:rPr>
            <w:rStyle w:val="Hyperlink"/>
            <w:rFonts w:ascii="Times New Roman" w:eastAsia="Times New Roman" w:hAnsi="Times New Roman" w:cs="Times New Roman"/>
          </w:rPr>
          <w:t>http://www.epw.in/journal/2017/12/money-banking- and-finance/non-performing-assets-indian-banks.html</w:t>
        </w:r>
      </w:hyperlink>
    </w:p>
    <w:p w:rsidR="00DD594F" w:rsidRPr="00DD594F" w:rsidRDefault="00DD594F" w:rsidP="00DD594F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10. P. Dua, Monetary Policy framework in India, Indian Economic Review, Issue1, June 2020</w:t>
      </w:r>
    </w:p>
    <w:sectPr w:rsidR="00DD594F" w:rsidRPr="00DD594F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1F12"/>
    <w:multiLevelType w:val="hybridMultilevel"/>
    <w:tmpl w:val="40A41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30453"/>
    <w:multiLevelType w:val="hybridMultilevel"/>
    <w:tmpl w:val="1EBC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20A1"/>
    <w:multiLevelType w:val="hybridMultilevel"/>
    <w:tmpl w:val="7B6C74E0"/>
    <w:lvl w:ilvl="0" w:tplc="F6581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857D36"/>
    <w:rsid w:val="00017920"/>
    <w:rsid w:val="000245A5"/>
    <w:rsid w:val="00025B79"/>
    <w:rsid w:val="00092F59"/>
    <w:rsid w:val="000B2B53"/>
    <w:rsid w:val="001264D4"/>
    <w:rsid w:val="001352BA"/>
    <w:rsid w:val="00135665"/>
    <w:rsid w:val="0014355F"/>
    <w:rsid w:val="00145017"/>
    <w:rsid w:val="001616E2"/>
    <w:rsid w:val="001639EE"/>
    <w:rsid w:val="00177DA5"/>
    <w:rsid w:val="001A23BE"/>
    <w:rsid w:val="001D1AB9"/>
    <w:rsid w:val="001D467C"/>
    <w:rsid w:val="001E5166"/>
    <w:rsid w:val="001F2C7C"/>
    <w:rsid w:val="002344F2"/>
    <w:rsid w:val="00236F34"/>
    <w:rsid w:val="002449D3"/>
    <w:rsid w:val="00250F02"/>
    <w:rsid w:val="00276F12"/>
    <w:rsid w:val="002B0118"/>
    <w:rsid w:val="002F553D"/>
    <w:rsid w:val="002F5FA5"/>
    <w:rsid w:val="003068C6"/>
    <w:rsid w:val="00323C5C"/>
    <w:rsid w:val="00330725"/>
    <w:rsid w:val="0039670E"/>
    <w:rsid w:val="003A2754"/>
    <w:rsid w:val="003B0F3E"/>
    <w:rsid w:val="003C11F7"/>
    <w:rsid w:val="003C1475"/>
    <w:rsid w:val="003E0980"/>
    <w:rsid w:val="003E45D9"/>
    <w:rsid w:val="003F0CA6"/>
    <w:rsid w:val="00427CF0"/>
    <w:rsid w:val="00450EFB"/>
    <w:rsid w:val="00481B12"/>
    <w:rsid w:val="004C452B"/>
    <w:rsid w:val="004D78CF"/>
    <w:rsid w:val="004F1B20"/>
    <w:rsid w:val="00504BBF"/>
    <w:rsid w:val="00504F63"/>
    <w:rsid w:val="00540A83"/>
    <w:rsid w:val="00556455"/>
    <w:rsid w:val="00572D0E"/>
    <w:rsid w:val="005748B6"/>
    <w:rsid w:val="005947F9"/>
    <w:rsid w:val="005A2B6B"/>
    <w:rsid w:val="005B7354"/>
    <w:rsid w:val="005C4C27"/>
    <w:rsid w:val="005D7BCF"/>
    <w:rsid w:val="00626347"/>
    <w:rsid w:val="00626C1E"/>
    <w:rsid w:val="00651F1C"/>
    <w:rsid w:val="00694806"/>
    <w:rsid w:val="006B7118"/>
    <w:rsid w:val="006C5AC1"/>
    <w:rsid w:val="006E169E"/>
    <w:rsid w:val="0073040D"/>
    <w:rsid w:val="00772819"/>
    <w:rsid w:val="00792EFF"/>
    <w:rsid w:val="007C2EC2"/>
    <w:rsid w:val="007D3E6F"/>
    <w:rsid w:val="007E64FA"/>
    <w:rsid w:val="00801BDB"/>
    <w:rsid w:val="008151EE"/>
    <w:rsid w:val="00823BB6"/>
    <w:rsid w:val="00857D36"/>
    <w:rsid w:val="00887BB9"/>
    <w:rsid w:val="00894861"/>
    <w:rsid w:val="008D4036"/>
    <w:rsid w:val="00992B17"/>
    <w:rsid w:val="009B5F3E"/>
    <w:rsid w:val="00A016B1"/>
    <w:rsid w:val="00A062C7"/>
    <w:rsid w:val="00A841C9"/>
    <w:rsid w:val="00A86EC4"/>
    <w:rsid w:val="00AC39BD"/>
    <w:rsid w:val="00AE5A09"/>
    <w:rsid w:val="00B11C6B"/>
    <w:rsid w:val="00B220A8"/>
    <w:rsid w:val="00B33F52"/>
    <w:rsid w:val="00B72711"/>
    <w:rsid w:val="00B877FB"/>
    <w:rsid w:val="00B93D27"/>
    <w:rsid w:val="00B97D65"/>
    <w:rsid w:val="00BC172E"/>
    <w:rsid w:val="00C150D0"/>
    <w:rsid w:val="00C26981"/>
    <w:rsid w:val="00C47331"/>
    <w:rsid w:val="00C50CF3"/>
    <w:rsid w:val="00C60AFA"/>
    <w:rsid w:val="00C9071E"/>
    <w:rsid w:val="00CA6D95"/>
    <w:rsid w:val="00D119EC"/>
    <w:rsid w:val="00D13ECA"/>
    <w:rsid w:val="00D16EC6"/>
    <w:rsid w:val="00D419CB"/>
    <w:rsid w:val="00D96118"/>
    <w:rsid w:val="00DA0A50"/>
    <w:rsid w:val="00DD19D9"/>
    <w:rsid w:val="00DD594F"/>
    <w:rsid w:val="00DD7C0E"/>
    <w:rsid w:val="00DF10AF"/>
    <w:rsid w:val="00DF787F"/>
    <w:rsid w:val="00E1218B"/>
    <w:rsid w:val="00E46BF1"/>
    <w:rsid w:val="00E52959"/>
    <w:rsid w:val="00E55540"/>
    <w:rsid w:val="00E642A1"/>
    <w:rsid w:val="00EB4EE2"/>
    <w:rsid w:val="00EC4F84"/>
    <w:rsid w:val="00F730C6"/>
    <w:rsid w:val="00F7585C"/>
    <w:rsid w:val="00F83477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36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B20"/>
    <w:pPr>
      <w:ind w:left="720"/>
      <w:contextualSpacing/>
    </w:pPr>
  </w:style>
  <w:style w:type="paragraph" w:customStyle="1" w:styleId="normal0">
    <w:name w:val="normal"/>
    <w:rsid w:val="002B0118"/>
    <w:rPr>
      <w:rFonts w:ascii="Calibri" w:eastAsia="Calibri" w:hAnsi="Calibri" w:cs="Calibri"/>
    </w:rPr>
  </w:style>
  <w:style w:type="paragraph" w:styleId="Subtitle">
    <w:name w:val="Subtitle"/>
    <w:basedOn w:val="normal0"/>
    <w:next w:val="normal0"/>
    <w:link w:val="SubtitleChar"/>
    <w:rsid w:val="00450E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450EFB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D5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w.in/journal/2017/12/money-banking-%20and-finance/non-performing-assets-indian-bank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B0F0-EB44-47AE-AE88-9A36B081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comp12</cp:lastModifiedBy>
  <cp:revision>6</cp:revision>
  <dcterms:created xsi:type="dcterms:W3CDTF">2020-09-16T19:42:00Z</dcterms:created>
  <dcterms:modified xsi:type="dcterms:W3CDTF">2021-09-21T10:13:00Z</dcterms:modified>
</cp:coreProperties>
</file>